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6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TZDR-2021-0010001</w:t>
      </w:r>
    </w:p>
    <w:p>
      <w:pPr>
        <w:spacing w:line="600" w:lineRule="exact"/>
        <w:rPr>
          <w:rFonts w:ascii="楷体_GB2312" w:hAnsi="仿宋_GB2312" w:eastAsia="楷体_GB2312" w:cs="Times New Roman"/>
          <w:sz w:val="32"/>
          <w:szCs w:val="32"/>
        </w:rPr>
      </w:pPr>
      <w:r>
        <w:rPr>
          <w:rFonts w:hint="eastAsia"/>
        </w:rPr>
        <w:pict>
          <v:shape id="_x0000_s2050" o:spid="_x0000_s2050" o:spt="136" type="#_x0000_t136" style="position:absolute;left:0pt;margin-left:23.05pt;margin-top:7.9pt;height:81.45pt;width:391.45pt;z-index:251661312;mso-width-relative:page;mso-height-relative:page;" fillcolor="#FF0000" filled="t" stroked="f" coordsize="21600,21600" adj="10800">
            <v:path/>
            <v:fill on="t" color2="#FFFFFF" focussize="0,0"/>
            <v:stroke on="f"/>
            <v:imagedata o:title=""/>
            <o:lock v:ext="edit" aspectratio="f"/>
            <v:textpath on="t" fitshape="t" fitpath="t" trim="t" xscale="f" string="滕州市人民政府文件" style="font-family:华文中宋;font-size:36pt;font-weight:bold;v-text-align:center;"/>
          </v:shape>
        </w:pict>
      </w:r>
    </w:p>
    <w:p>
      <w:pPr>
        <w:pStyle w:val="10"/>
        <w:rPr>
          <w:rFonts w:ascii="楷体_GB2312" w:hAnsi="仿宋_GB2312" w:eastAsia="楷体_GB2312" w:cs="Times New Roman"/>
          <w:sz w:val="32"/>
          <w:szCs w:val="32"/>
        </w:rPr>
      </w:pPr>
    </w:p>
    <w:p>
      <w:pPr>
        <w:rPr>
          <w:rFonts w:cs="Times New Roman"/>
        </w:rPr>
      </w:pPr>
    </w:p>
    <w:p>
      <w:pPr>
        <w:pStyle w:val="2"/>
        <w:spacing w:line="440" w:lineRule="exact"/>
        <w:ind w:firstLine="31680"/>
        <w:rPr>
          <w:rFonts w:cs="Times New Roman"/>
        </w:rPr>
      </w:pPr>
    </w:p>
    <w:p>
      <w:pPr>
        <w:widowControl w:val="0"/>
        <w:overflowPunct w:val="0"/>
        <w:adjustRightInd w:val="0"/>
        <w:snapToGrid w:val="0"/>
        <w:spacing w:line="600" w:lineRule="exac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滕政发</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2021</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号</w:t>
      </w:r>
    </w:p>
    <w:p>
      <w:pPr>
        <w:widowControl w:val="0"/>
        <w:overflowPunct w:val="0"/>
        <w:adjustRightInd w:val="0"/>
        <w:snapToGrid w:val="0"/>
        <w:spacing w:line="900" w:lineRule="exact"/>
        <w:jc w:val="center"/>
        <w:rPr>
          <w:rFonts w:ascii="仿宋_GB2312" w:eastAsia="仿宋_GB2312" w:cs="Times New Roman"/>
          <w:sz w:val="32"/>
          <w:szCs w:val="32"/>
        </w:rPr>
      </w:pPr>
      <w:r>
        <w:rPr>
          <w:rFonts w:hint="eastAsia"/>
        </w:rPr>
        <w:pict>
          <v:line id="直接连接符 1" o:spid="_x0000_s2051" o:spt="20" style="position:absolute;left:0pt;margin-left:12.05pt;margin-top:15.15pt;height:0.05pt;width:405pt;z-index:251666432;mso-width-relative:page;mso-height-relative:page;" filled="f" stroked="t" coordsize="21600,21600" o:gfxdata="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S+rtUAAAAIAQAADwAAAAAAAAABACAAAAAiAAAAZHJz&#10;L2Rvd25yZXYueG1sUEsBAhQAFAAAAAgAh07iQNnefcUHAgAA8wMAAA4AAAAAAAAAAQAgAAAAJAEA&#10;AGRycy9lMm9Eb2MueG1sUEsFBgAAAAAGAAYAWQEAAJ0FAAAAAA==&#10;">
            <v:path arrowok="t"/>
            <v:fill on="f" focussize="0,0"/>
            <v:stroke weight="2.25pt" color="#FF0000" joinstyle="round"/>
            <v:imagedata o:title=""/>
            <o:lock v:ext="edit" aspectratio="f"/>
          </v:line>
        </w:pict>
      </w:r>
    </w:p>
    <w:p>
      <w:pPr>
        <w:widowControl w:val="0"/>
        <w:shd w:val="solid" w:color="FFFFFF" w:fill="auto"/>
        <w:tabs>
          <w:tab w:val="left" w:pos="1950"/>
        </w:tabs>
        <w:overflowPunct w:val="0"/>
        <w:adjustRightInd w:val="0"/>
        <w:snapToGrid w:val="0"/>
        <w:spacing w:line="600" w:lineRule="exact"/>
        <w:jc w:val="center"/>
        <w:rPr>
          <w:rFonts w:ascii="方正小标宋简体" w:hAnsi="宋体" w:eastAsia="方正小标宋简体" w:cs="Times New Roman"/>
          <w:sz w:val="44"/>
          <w:szCs w:val="44"/>
          <w:shd w:val="solid" w:color="FFFFFF" w:fill="auto"/>
        </w:rPr>
      </w:pPr>
      <w:r>
        <w:rPr>
          <w:rFonts w:hint="eastAsia" w:ascii="方正小标宋简体" w:hAnsi="宋体" w:eastAsia="方正小标宋简体" w:cs="方正小标宋简体"/>
          <w:sz w:val="44"/>
          <w:szCs w:val="44"/>
          <w:shd w:val="solid" w:color="FFFFFF" w:fill="auto"/>
        </w:rPr>
        <w:t>滕州市人民政府</w:t>
      </w:r>
    </w:p>
    <w:p>
      <w:pPr>
        <w:widowControl w:val="0"/>
        <w:shd w:val="solid" w:color="FFFFFF" w:fill="auto"/>
        <w:tabs>
          <w:tab w:val="left" w:pos="1950"/>
        </w:tabs>
        <w:overflowPunct w:val="0"/>
        <w:adjustRightInd w:val="0"/>
        <w:snapToGrid w:val="0"/>
        <w:spacing w:line="600" w:lineRule="exact"/>
        <w:jc w:val="center"/>
        <w:rPr>
          <w:rFonts w:ascii="方正小标宋简体" w:hAnsi="宋体" w:eastAsia="方正小标宋简体" w:cs="Times New Roman"/>
          <w:sz w:val="44"/>
          <w:szCs w:val="44"/>
          <w:shd w:val="solid" w:color="FFFFFF" w:fill="auto"/>
        </w:rPr>
      </w:pPr>
      <w:r>
        <w:rPr>
          <w:rFonts w:hint="eastAsia" w:ascii="方正小标宋简体" w:hAnsi="宋体" w:eastAsia="方正小标宋简体" w:cs="方正小标宋简体"/>
          <w:sz w:val="44"/>
          <w:szCs w:val="44"/>
          <w:shd w:val="solid" w:color="FFFFFF" w:fill="auto"/>
        </w:rPr>
        <w:t>关于印发《</w:t>
      </w:r>
      <w:r>
        <w:rPr>
          <w:rFonts w:hint="eastAsia" w:ascii="方正小标宋简体" w:hAnsi="宋体" w:eastAsia="方正小标宋简体" w:cs="方正小标宋简体"/>
          <w:sz w:val="44"/>
          <w:szCs w:val="44"/>
          <w:shd w:val="solid" w:color="FFFFFF" w:fill="auto"/>
          <w:lang w:val="en-US" w:eastAsia="zh-CN"/>
        </w:rPr>
        <w:t>滕州市机动车停车场管理办法</w:t>
      </w:r>
      <w:r>
        <w:rPr>
          <w:rFonts w:hint="eastAsia" w:ascii="方正小标宋简体" w:hAnsi="宋体" w:eastAsia="方正小标宋简体" w:cs="方正小标宋简体"/>
          <w:sz w:val="44"/>
          <w:szCs w:val="44"/>
          <w:shd w:val="solid" w:color="FFFFFF" w:fill="auto"/>
        </w:rPr>
        <w:t>》的通知</w:t>
      </w:r>
    </w:p>
    <w:p>
      <w:pPr>
        <w:widowControl w:val="0"/>
        <w:shd w:val="solid" w:color="FFFFFF" w:fill="auto"/>
        <w:tabs>
          <w:tab w:val="left" w:pos="1950"/>
        </w:tabs>
        <w:overflowPunct w:val="0"/>
        <w:adjustRightInd w:val="0"/>
        <w:snapToGrid w:val="0"/>
        <w:spacing w:line="600" w:lineRule="exact"/>
        <w:rPr>
          <w:rFonts w:ascii="楷体_GB2312" w:hAnsi="宋体" w:eastAsia="楷体_GB2312" w:cs="Times New Roman"/>
          <w:b/>
          <w:bCs/>
          <w:sz w:val="32"/>
          <w:szCs w:val="32"/>
          <w:shd w:val="solid" w:color="FFFFFF" w:fill="auto"/>
        </w:rPr>
      </w:pPr>
    </w:p>
    <w:p>
      <w:pPr>
        <w:widowControl w:val="0"/>
        <w:shd w:val="solid" w:color="FFFFFF" w:fill="auto"/>
        <w:tabs>
          <w:tab w:val="left" w:pos="1950"/>
        </w:tabs>
        <w:overflowPunct w:val="0"/>
        <w:adjustRightInd w:val="0"/>
        <w:snapToGrid w:val="0"/>
        <w:spacing w:line="600" w:lineRule="exact"/>
        <w:rPr>
          <w:rFonts w:ascii="仿宋_GB2312" w:hAnsi="宋体" w:eastAsia="仿宋_GB2312" w:cs="Times New Roman"/>
          <w:sz w:val="32"/>
          <w:szCs w:val="32"/>
          <w:shd w:val="solid" w:color="FFFFFF" w:fill="auto"/>
        </w:rPr>
      </w:pPr>
      <w:r>
        <w:rPr>
          <w:rFonts w:hint="eastAsia" w:ascii="仿宋_GB2312" w:hAnsi="宋体" w:eastAsia="仿宋_GB2312" w:cs="仿宋_GB2312"/>
          <w:sz w:val="32"/>
          <w:szCs w:val="32"/>
          <w:shd w:val="solid" w:color="FFFFFF" w:fill="auto"/>
        </w:rPr>
        <w:t>各镇人民政府、街道办事处，</w:t>
      </w:r>
      <w:r>
        <w:rPr>
          <w:rFonts w:hint="eastAsia" w:ascii="仿宋_GB2312" w:eastAsia="仿宋_GB2312" w:cs="仿宋_GB2312"/>
          <w:sz w:val="32"/>
          <w:szCs w:val="32"/>
        </w:rPr>
        <w:t>滕州经济开发区管委会，</w:t>
      </w:r>
      <w:r>
        <w:rPr>
          <w:rFonts w:hint="eastAsia" w:ascii="仿宋_GB2312" w:hAnsi="宋体" w:eastAsia="仿宋_GB2312" w:cs="仿宋_GB2312"/>
          <w:sz w:val="32"/>
          <w:szCs w:val="32"/>
          <w:shd w:val="solid" w:color="FFFFFF" w:fill="auto"/>
        </w:rPr>
        <w:t>市政府各有关部门，各企事业单位：</w:t>
      </w:r>
    </w:p>
    <w:p>
      <w:pPr>
        <w:widowControl w:val="0"/>
        <w:overflowPunct w:val="0"/>
        <w:adjustRightInd w:val="0"/>
        <w:snapToGrid w:val="0"/>
        <w:spacing w:line="600" w:lineRule="exact"/>
        <w:ind w:firstLine="640" w:firstLineChars="200"/>
        <w:rPr>
          <w:rFonts w:ascii="仿宋_GB2312" w:hAnsi="Times New Roman" w:eastAsia="仿宋_GB2312" w:cs="仿宋_GB2312"/>
          <w:sz w:val="32"/>
          <w:szCs w:val="32"/>
        </w:rPr>
      </w:pPr>
      <w:r>
        <w:rPr>
          <w:rFonts w:hint="eastAsia" w:ascii="仿宋_GB2312" w:hAnsi="宋体" w:eastAsia="仿宋_GB2312" w:cs="仿宋_GB2312"/>
          <w:sz w:val="32"/>
          <w:szCs w:val="32"/>
          <w:shd w:val="solid" w:color="FFFFFF" w:fill="auto"/>
          <w:lang w:val="en-US" w:eastAsia="zh-CN"/>
        </w:rPr>
        <w:t>现将</w:t>
      </w:r>
      <w:r>
        <w:rPr>
          <w:rFonts w:hint="eastAsia" w:ascii="仿宋_GB2312" w:hAnsi="宋体" w:eastAsia="仿宋_GB2312" w:cs="仿宋_GB2312"/>
          <w:sz w:val="32"/>
          <w:szCs w:val="32"/>
          <w:shd w:val="solid" w:color="FFFFFF" w:fill="auto"/>
        </w:rPr>
        <w:t>《</w:t>
      </w:r>
      <w:r>
        <w:rPr>
          <w:rFonts w:hint="eastAsia" w:ascii="仿宋_GB2312" w:hAnsi="宋体" w:eastAsia="仿宋_GB2312" w:cs="仿宋_GB2312"/>
          <w:sz w:val="32"/>
          <w:szCs w:val="32"/>
          <w:shd w:val="solid" w:color="FFFFFF" w:fill="auto"/>
          <w:lang w:val="en-US" w:eastAsia="zh-CN"/>
        </w:rPr>
        <w:t>滕州市机动车停车场管理办法</w:t>
      </w:r>
      <w:r>
        <w:rPr>
          <w:rFonts w:hint="eastAsia" w:ascii="仿宋_GB2312" w:hAnsi="宋体" w:eastAsia="仿宋_GB2312" w:cs="仿宋_GB2312"/>
          <w:sz w:val="32"/>
          <w:szCs w:val="32"/>
          <w:shd w:val="solid" w:color="FFFFFF" w:fill="auto"/>
        </w:rPr>
        <w:t>》印</w:t>
      </w:r>
      <w:r>
        <w:rPr>
          <w:rFonts w:hint="eastAsia" w:ascii="仿宋_GB2312" w:hAnsi="Times New Roman" w:eastAsia="仿宋_GB2312" w:cs="仿宋_GB2312"/>
          <w:sz w:val="32"/>
          <w:szCs w:val="32"/>
        </w:rPr>
        <w:t>发给你们，请认真贯彻执行。</w:t>
      </w:r>
      <w:r>
        <w:rPr>
          <w:rFonts w:ascii="仿宋_GB2312" w:hAnsi="Times New Roman" w:eastAsia="仿宋_GB2312" w:cs="仿宋_GB2312"/>
          <w:sz w:val="32"/>
          <w:szCs w:val="32"/>
        </w:rPr>
        <w:t xml:space="preserve"> </w:t>
      </w:r>
    </w:p>
    <w:p>
      <w:pPr>
        <w:widowControl w:val="0"/>
        <w:overflowPunct w:val="0"/>
        <w:adjustRightInd w:val="0"/>
        <w:snapToGrid w:val="0"/>
        <w:spacing w:line="600" w:lineRule="exact"/>
        <w:ind w:firstLine="5760" w:firstLineChars="1800"/>
        <w:rPr>
          <w:rFonts w:ascii="仿宋_GB2312" w:eastAsia="仿宋_GB2312" w:cs="Times New Roman"/>
          <w:sz w:val="32"/>
          <w:szCs w:val="32"/>
        </w:rPr>
      </w:pPr>
    </w:p>
    <w:p>
      <w:pPr>
        <w:widowControl w:val="0"/>
        <w:wordWrap w:val="0"/>
        <w:overflowPunct w:val="0"/>
        <w:adjustRightInd w:val="0"/>
        <w:snapToGrid w:val="0"/>
        <w:spacing w:line="600" w:lineRule="exact"/>
        <w:jc w:val="right"/>
        <w:rPr>
          <w:rFonts w:ascii="仿宋_GB2312" w:eastAsia="仿宋_GB2312" w:cs="仿宋_GB2312"/>
          <w:sz w:val="32"/>
          <w:szCs w:val="32"/>
        </w:rPr>
      </w:pPr>
      <w:r>
        <w:rPr>
          <w:rFonts w:hint="eastAsia" w:ascii="仿宋_GB2312" w:eastAsia="仿宋_GB2312" w:cs="仿宋_GB2312"/>
          <w:sz w:val="32"/>
          <w:szCs w:val="32"/>
        </w:rPr>
        <w:t>滕州市人民政府</w:t>
      </w:r>
      <w:r>
        <w:rPr>
          <w:rFonts w:ascii="仿宋_GB2312" w:eastAsia="仿宋_GB2312" w:cs="仿宋_GB2312"/>
          <w:sz w:val="32"/>
          <w:szCs w:val="32"/>
        </w:rPr>
        <w:t xml:space="preserve">    </w:t>
      </w:r>
    </w:p>
    <w:p>
      <w:pPr>
        <w:widowControl w:val="0"/>
        <w:overflowPunct w:val="0"/>
        <w:adjustRightInd w:val="0"/>
        <w:snapToGrid w:val="0"/>
        <w:spacing w:line="600" w:lineRule="exact"/>
        <w:ind w:firstLine="5440" w:firstLineChars="1700"/>
        <w:rPr>
          <w:rFonts w:ascii="仿宋_GB2312" w:hAnsi="宋体" w:eastAsia="仿宋_GB2312" w:cs="Times New Roman"/>
          <w:kern w:val="0"/>
          <w:sz w:val="32"/>
          <w:szCs w:val="32"/>
        </w:rPr>
      </w:pPr>
      <w:r>
        <w:rPr>
          <w:rFonts w:ascii="仿宋_GB2312" w:eastAsia="仿宋_GB2312" w:cs="仿宋_GB2312"/>
          <w:sz w:val="32"/>
          <w:szCs w:val="32"/>
        </w:rPr>
        <w:t>2021</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12</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20</w:t>
      </w:r>
      <w:r>
        <w:rPr>
          <w:rFonts w:hint="eastAsia" w:ascii="仿宋_GB2312" w:eastAsia="仿宋_GB2312" w:cs="仿宋_GB2312"/>
          <w:sz w:val="32"/>
          <w:szCs w:val="32"/>
        </w:rPr>
        <w:t>日</w:t>
      </w:r>
    </w:p>
    <w:p>
      <w:pPr>
        <w:pStyle w:val="10"/>
        <w:widowControl w:val="0"/>
        <w:overflowPunct w:val="0"/>
        <w:adjustRightInd w:val="0"/>
        <w:snapToGrid w:val="0"/>
        <w:spacing w:line="600" w:lineRule="exact"/>
        <w:rPr>
          <w:rFonts w:cs="Times New Roman"/>
          <w:sz w:val="44"/>
          <w:szCs w:val="44"/>
        </w:rPr>
      </w:pPr>
    </w:p>
    <w:p>
      <w:pPr>
        <w:rPr>
          <w:rFonts w:cs="Times New Roman"/>
        </w:rPr>
      </w:pPr>
    </w:p>
    <w:p>
      <w:pPr>
        <w:adjustRightInd w:val="0"/>
        <w:snapToGrid w:val="0"/>
        <w:spacing w:line="600" w:lineRule="exact"/>
        <w:rPr>
          <w:rFonts w:ascii="仿宋_GB2312" w:hAnsi="Times New Roman" w:eastAsia="仿宋_GB2312" w:cs="Times New Roman"/>
          <w:sz w:val="32"/>
          <w:szCs w:val="32"/>
        </w:rPr>
      </w:pPr>
    </w:p>
    <w:p>
      <w:pPr>
        <w:pStyle w:val="2"/>
        <w:keepNext w:val="0"/>
        <w:keepLines w:val="0"/>
        <w:widowControl w:val="0"/>
        <w:spacing w:line="200" w:lineRule="exact"/>
        <w:ind w:firstLine="31680"/>
        <w:rPr>
          <w:rFonts w:cs="Times New Roman"/>
        </w:rPr>
      </w:pPr>
    </w:p>
    <w:p>
      <w:pPr>
        <w:adjustRightInd w:val="0"/>
        <w:snapToGrid w:val="0"/>
        <w:spacing w:line="600" w:lineRule="exact"/>
        <w:rPr>
          <w:rFonts w:ascii="方正小标宋简体" w:hAnsi="黑体" w:eastAsia="方正小标宋简体" w:cs="宋体"/>
          <w:sz w:val="44"/>
          <w:szCs w:val="44"/>
        </w:rPr>
      </w:pPr>
      <w:r>
        <w:rPr>
          <w:rFonts w:hint="eastAsia" w:ascii="仿宋_GB2312" w:hAnsi="Times New Roman" w:eastAsia="仿宋_GB2312" w:cs="仿宋_GB2312"/>
          <w:sz w:val="32"/>
          <w:szCs w:val="32"/>
        </w:rPr>
        <w:t>（此件公开</w:t>
      </w:r>
      <w:r>
        <w:rPr>
          <w:rFonts w:hint="eastAsia" w:ascii="仿宋_GB2312" w:hAnsi="Times New Roman" w:eastAsia="仿宋_GB2312" w:cs="仿宋_GB2312"/>
          <w:sz w:val="32"/>
          <w:szCs w:val="32"/>
          <w:lang w:val="en-US" w:eastAsia="zh-CN"/>
        </w:rPr>
        <w:t>发布</w:t>
      </w:r>
      <w:r>
        <w:rPr>
          <w:rFonts w:hint="eastAsia" w:ascii="仿宋_GB2312" w:hAnsi="Times New Roman" w:eastAsia="仿宋_GB2312" w:cs="仿宋_GB2312"/>
          <w:sz w:val="32"/>
          <w:szCs w:val="32"/>
        </w:rPr>
        <w:t>）</w:t>
      </w:r>
    </w:p>
    <w:p>
      <w:pPr>
        <w:keepNext w:val="0"/>
        <w:keepLines w:val="0"/>
        <w:pageBreakBefore w:val="0"/>
        <w:kinsoku/>
        <w:wordWrap/>
        <w:overflowPunct/>
        <w:topLinePunct w:val="0"/>
        <w:autoSpaceDE/>
        <w:autoSpaceDN/>
        <w:bidi w:val="0"/>
        <w:spacing w:line="600" w:lineRule="exact"/>
        <w:jc w:val="center"/>
        <w:textAlignment w:val="auto"/>
        <w:rPr>
          <w:rFonts w:hint="eastAsia" w:ascii="方正小标宋简体" w:hAnsi="黑体" w:eastAsia="方正小标宋简体" w:cs="宋体"/>
          <w:color w:val="000000" w:themeColor="text1"/>
          <w:sz w:val="44"/>
          <w:szCs w:val="44"/>
        </w:rPr>
        <w:sectPr>
          <w:footerReference r:id="rId3" w:type="default"/>
          <w:pgSz w:w="11906" w:h="16838"/>
          <w:pgMar w:top="1701" w:right="1701" w:bottom="1701" w:left="1701" w:header="851" w:footer="992" w:gutter="0"/>
          <w:pgNumType w:fmt="numberInDash"/>
          <w:cols w:space="425" w:num="1"/>
          <w:docGrid w:type="lines" w:linePitch="312" w:charSpace="0"/>
        </w:sectPr>
      </w:pPr>
    </w:p>
    <w:p>
      <w:pPr>
        <w:pStyle w:val="2"/>
        <w:rPr>
          <w:rFonts w:hint="eastAsia"/>
        </w:rPr>
      </w:pPr>
    </w:p>
    <w:p>
      <w:pPr>
        <w:keepNext w:val="0"/>
        <w:keepLines w:val="0"/>
        <w:pageBreakBefore w:val="0"/>
        <w:kinsoku/>
        <w:wordWrap/>
        <w:overflowPunct/>
        <w:topLinePunct w:val="0"/>
        <w:autoSpaceDE/>
        <w:autoSpaceDN/>
        <w:bidi w:val="0"/>
        <w:spacing w:line="600" w:lineRule="exact"/>
        <w:jc w:val="center"/>
        <w:textAlignment w:val="auto"/>
        <w:rPr>
          <w:rFonts w:ascii="仿宋" w:hAnsi="仿宋" w:eastAsia="仿宋"/>
          <w:color w:val="000000" w:themeColor="text1"/>
          <w:sz w:val="32"/>
          <w:szCs w:val="32"/>
        </w:rPr>
      </w:pPr>
      <w:r>
        <w:rPr>
          <w:rFonts w:hint="eastAsia" w:ascii="方正小标宋简体" w:hAnsi="黑体" w:eastAsia="方正小标宋简体" w:cs="宋体"/>
          <w:color w:val="000000" w:themeColor="text1"/>
          <w:sz w:val="44"/>
          <w:szCs w:val="44"/>
        </w:rPr>
        <w:t>滕州市机动车停车场管理办法</w:t>
      </w:r>
    </w:p>
    <w:p>
      <w:pPr>
        <w:pStyle w:val="6"/>
        <w:keepNext w:val="0"/>
        <w:keepLines w:val="0"/>
        <w:pageBreakBefore w:val="0"/>
        <w:widowControl w:val="0"/>
        <w:kinsoku/>
        <w:wordWrap/>
        <w:overflowPunct/>
        <w:topLinePunct w:val="0"/>
        <w:autoSpaceDE/>
        <w:autoSpaceDN/>
        <w:bidi w:val="0"/>
        <w:adjustRightInd w:val="0"/>
        <w:snapToGrid w:val="0"/>
        <w:spacing w:before="0" w:after="0" w:line="600" w:lineRule="exact"/>
        <w:jc w:val="both"/>
        <w:textAlignment w:val="auto"/>
        <w:rPr>
          <w:rFonts w:ascii="黑体" w:hAnsi="仿宋_GB2312" w:eastAsia="黑体"/>
          <w:bCs/>
          <w:color w:val="000000" w:themeColor="text1"/>
          <w:sz w:val="32"/>
          <w:szCs w:val="32"/>
        </w:rPr>
      </w:pPr>
    </w:p>
    <w:p>
      <w:pPr>
        <w:pStyle w:val="6"/>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ascii="仿宋_GB2312" w:eastAsia="仿宋_GB2312"/>
          <w:color w:val="000000" w:themeColor="text1"/>
          <w:sz w:val="32"/>
          <w:szCs w:val="32"/>
        </w:rPr>
      </w:pPr>
      <w:r>
        <w:rPr>
          <w:rFonts w:hint="eastAsia" w:ascii="黑体" w:hAnsi="仿宋_GB2312" w:eastAsia="黑体"/>
          <w:bCs/>
          <w:color w:val="000000" w:themeColor="text1"/>
          <w:sz w:val="32"/>
          <w:szCs w:val="32"/>
        </w:rPr>
        <w:t xml:space="preserve">第一条 </w:t>
      </w:r>
      <w:r>
        <w:rPr>
          <w:rFonts w:hint="eastAsia" w:ascii="黑体" w:hAnsi="仿宋_GB2312" w:eastAsia="黑体"/>
          <w:bCs/>
          <w:color w:val="000000" w:themeColor="text1"/>
          <w:sz w:val="32"/>
          <w:szCs w:val="32"/>
          <w:lang w:val="en-US" w:eastAsia="zh-CN"/>
        </w:rPr>
        <w:t xml:space="preserve"> </w:t>
      </w:r>
      <w:r>
        <w:rPr>
          <w:rFonts w:hint="eastAsia" w:ascii="仿宋_GB2312" w:eastAsia="仿宋_GB2312"/>
          <w:color w:val="000000" w:themeColor="text1"/>
          <w:sz w:val="32"/>
          <w:szCs w:val="32"/>
        </w:rPr>
        <w:t>为加强城区停车设施的规划、建设、运营及管理，规范公共停车秩序，改善城区停车环境，维护城市道路交通安全畅通，根据《中华人民共和国道路交通安全法》《山东省实施</w:t>
      </w:r>
      <w:r>
        <w:rPr>
          <w:rFonts w:hint="eastAsia" w:ascii="仿宋_GB2312" w:hAnsi="仿宋_GB2312" w:eastAsia="仿宋_GB2312" w:cs="仿宋_GB2312"/>
          <w:color w:val="000000" w:themeColor="text1"/>
          <w:sz w:val="32"/>
          <w:szCs w:val="32"/>
        </w:rPr>
        <w:t>&lt;中华人民共和国道路交通安全法&gt;办法</w:t>
      </w:r>
      <w:r>
        <w:rPr>
          <w:rFonts w:hint="eastAsia" w:ascii="仿宋_GB2312" w:eastAsia="仿宋_GB2312"/>
          <w:color w:val="000000" w:themeColor="text1"/>
          <w:sz w:val="32"/>
          <w:szCs w:val="32"/>
        </w:rPr>
        <w:t>》等法律、法规，结合本市实际情况，制定本办法。</w:t>
      </w:r>
    </w:p>
    <w:p>
      <w:pPr>
        <w:pStyle w:val="6"/>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ascii="仿宋_GB2312" w:eastAsia="仿宋_GB2312"/>
          <w:color w:val="000000" w:themeColor="text1"/>
          <w:sz w:val="32"/>
          <w:szCs w:val="32"/>
        </w:rPr>
      </w:pPr>
      <w:r>
        <w:rPr>
          <w:rFonts w:hint="eastAsia" w:ascii="黑体" w:hAnsi="仿宋_GB2312" w:eastAsia="黑体"/>
          <w:bCs/>
          <w:color w:val="000000" w:themeColor="text1"/>
          <w:sz w:val="32"/>
          <w:szCs w:val="32"/>
        </w:rPr>
        <w:t xml:space="preserve">第二条 </w:t>
      </w:r>
      <w:r>
        <w:rPr>
          <w:rFonts w:hint="eastAsia" w:ascii="黑体" w:hAnsi="仿宋_GB2312" w:eastAsia="黑体"/>
          <w:bCs/>
          <w:color w:val="000000" w:themeColor="text1"/>
          <w:sz w:val="32"/>
          <w:szCs w:val="32"/>
          <w:lang w:val="en-US" w:eastAsia="zh-CN"/>
        </w:rPr>
        <w:t xml:space="preserve"> </w:t>
      </w:r>
      <w:r>
        <w:rPr>
          <w:rFonts w:hint="eastAsia" w:ascii="仿宋_GB2312" w:eastAsia="仿宋_GB2312"/>
          <w:color w:val="000000" w:themeColor="text1"/>
          <w:sz w:val="32"/>
          <w:szCs w:val="32"/>
        </w:rPr>
        <w:t>本市城区内机动车停车场的规划、设置、使用、管理和机动车停放管理、临时停放管理适用本办法。</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公共交通、道路客货运输车辆等专用停车场的规划、建设、管理和危险化学品运输车辆的停放管理，适用国家和本市其他有关规定。</w:t>
      </w:r>
    </w:p>
    <w:p>
      <w:pPr>
        <w:keepNext w:val="0"/>
        <w:keepLines w:val="0"/>
        <w:pageBreakBefore w:val="0"/>
        <w:kinsoku/>
        <w:wordWrap/>
        <w:overflowPunct/>
        <w:topLinePunct w:val="0"/>
        <w:autoSpaceDE/>
        <w:autoSpaceDN/>
        <w:bidi w:val="0"/>
        <w:spacing w:line="600" w:lineRule="exact"/>
        <w:ind w:firstLine="640" w:firstLineChars="200"/>
        <w:textAlignment w:val="auto"/>
        <w:rPr>
          <w:rFonts w:ascii="黑体" w:hAnsi="仿宋_GB2312" w:eastAsia="黑体"/>
          <w:bCs/>
          <w:color w:val="000000" w:themeColor="text1"/>
          <w:sz w:val="32"/>
          <w:szCs w:val="32"/>
        </w:rPr>
      </w:pPr>
      <w:r>
        <w:rPr>
          <w:rFonts w:hint="eastAsia" w:ascii="仿宋_GB2312" w:hAnsi="宋体" w:eastAsia="仿宋_GB2312" w:cs="宋体"/>
          <w:color w:val="000000" w:themeColor="text1"/>
          <w:kern w:val="0"/>
          <w:sz w:val="32"/>
          <w:szCs w:val="32"/>
        </w:rPr>
        <w:t>实行物业管理的区域（住宅小区、公寓等）机动车停放管理适用《中华人民共和国民法典》《中华人民共和国物业管理条例》《山东省物业管理条例》</w:t>
      </w:r>
      <w:r>
        <w:rPr>
          <w:rFonts w:ascii="仿宋_GB2312" w:hAnsi="宋体" w:eastAsia="仿宋_GB2312" w:cs="宋体"/>
          <w:color w:val="000000" w:themeColor="text1"/>
          <w:kern w:val="0"/>
          <w:sz w:val="32"/>
          <w:szCs w:val="32"/>
        </w:rPr>
        <w:t>《</w:t>
      </w:r>
      <w:r>
        <w:rPr>
          <w:rFonts w:hint="eastAsia" w:ascii="仿宋_GB2312" w:hAnsi="宋体" w:eastAsia="仿宋_GB2312" w:cs="宋体"/>
          <w:color w:val="000000" w:themeColor="text1"/>
          <w:kern w:val="0"/>
          <w:sz w:val="32"/>
          <w:szCs w:val="32"/>
        </w:rPr>
        <w:t>山东省</w:t>
      </w:r>
      <w:r>
        <w:rPr>
          <w:rFonts w:ascii="仿宋_GB2312" w:hAnsi="宋体" w:eastAsia="仿宋_GB2312" w:cs="宋体"/>
          <w:color w:val="000000" w:themeColor="text1"/>
          <w:kern w:val="0"/>
          <w:sz w:val="32"/>
          <w:szCs w:val="32"/>
        </w:rPr>
        <w:t>物业</w:t>
      </w:r>
      <w:r>
        <w:rPr>
          <w:rFonts w:hint="eastAsia" w:ascii="仿宋_GB2312" w:hAnsi="宋体" w:eastAsia="仿宋_GB2312" w:cs="宋体"/>
          <w:color w:val="000000" w:themeColor="text1"/>
          <w:kern w:val="0"/>
          <w:sz w:val="32"/>
          <w:szCs w:val="32"/>
        </w:rPr>
        <w:t>服务</w:t>
      </w:r>
      <w:r>
        <w:rPr>
          <w:rFonts w:ascii="仿宋_GB2312" w:hAnsi="宋体" w:eastAsia="仿宋_GB2312" w:cs="宋体"/>
          <w:color w:val="000000" w:themeColor="text1"/>
          <w:kern w:val="0"/>
          <w:sz w:val="32"/>
          <w:szCs w:val="32"/>
        </w:rPr>
        <w:t>收费管理办法》</w:t>
      </w:r>
      <w:r>
        <w:rPr>
          <w:rFonts w:hint="eastAsia" w:ascii="仿宋_GB2312" w:hAnsi="宋体" w:eastAsia="仿宋_GB2312" w:cs="宋体"/>
          <w:color w:val="000000" w:themeColor="text1"/>
          <w:kern w:val="0"/>
          <w:sz w:val="32"/>
          <w:szCs w:val="32"/>
        </w:rPr>
        <w:t>等有关规定。</w:t>
      </w:r>
    </w:p>
    <w:p>
      <w:pPr>
        <w:pStyle w:val="6"/>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ascii="仿宋_GB2312" w:eastAsia="仿宋_GB2312"/>
          <w:color w:val="000000" w:themeColor="text1"/>
          <w:sz w:val="32"/>
          <w:szCs w:val="32"/>
        </w:rPr>
      </w:pPr>
      <w:r>
        <w:rPr>
          <w:rFonts w:hint="eastAsia" w:ascii="黑体" w:hAnsi="仿宋_GB2312" w:eastAsia="黑体"/>
          <w:bCs/>
          <w:color w:val="000000" w:themeColor="text1"/>
          <w:sz w:val="32"/>
          <w:szCs w:val="32"/>
        </w:rPr>
        <w:t xml:space="preserve">第三条 </w:t>
      </w:r>
      <w:r>
        <w:rPr>
          <w:rFonts w:hint="eastAsia" w:ascii="黑体" w:hAnsi="仿宋_GB2312" w:eastAsia="黑体"/>
          <w:bCs/>
          <w:color w:val="000000" w:themeColor="text1"/>
          <w:sz w:val="32"/>
          <w:szCs w:val="32"/>
          <w:lang w:val="en-US" w:eastAsia="zh-CN"/>
        </w:rPr>
        <w:t xml:space="preserve"> </w:t>
      </w:r>
      <w:r>
        <w:rPr>
          <w:rFonts w:hint="eastAsia" w:ascii="仿宋_GB2312" w:eastAsia="仿宋_GB2312"/>
          <w:color w:val="000000" w:themeColor="text1"/>
          <w:sz w:val="32"/>
          <w:szCs w:val="32"/>
        </w:rPr>
        <w:t>本办法所称停车场是指供机动车停放的场所。机动车停车场包括公共停车场和专用停车场。</w:t>
      </w:r>
    </w:p>
    <w:p>
      <w:pPr>
        <w:pStyle w:val="6"/>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本办法所称公共停车场，是指向社会开放，为不特定对象提供停车服务的停放机动车的场所，包括独立建设的公共停车场（含城市道路上规划设置的临时公共停车泊位）、临时停车场和配套建设的公共停车场。</w:t>
      </w:r>
    </w:p>
    <w:p>
      <w:pPr>
        <w:pStyle w:val="6"/>
        <w:keepNext w:val="0"/>
        <w:keepLines w:val="0"/>
        <w:pageBreakBefore w:val="0"/>
        <w:widowControl w:val="0"/>
        <w:kinsoku/>
        <w:wordWrap/>
        <w:overflowPunct/>
        <w:topLinePunct w:val="0"/>
        <w:autoSpaceDE/>
        <w:autoSpaceDN/>
        <w:bidi w:val="0"/>
        <w:adjustRightInd w:val="0"/>
        <w:snapToGrid w:val="0"/>
        <w:spacing w:before="0" w:after="0" w:line="600" w:lineRule="exact"/>
        <w:ind w:firstLine="616" w:firstLineChars="200"/>
        <w:jc w:val="both"/>
        <w:textAlignment w:val="auto"/>
        <w:rPr>
          <w:rFonts w:ascii="仿宋_GB2312" w:eastAsia="仿宋_GB2312"/>
          <w:color w:val="000000" w:themeColor="text1"/>
          <w:spacing w:val="-6"/>
          <w:sz w:val="32"/>
          <w:szCs w:val="32"/>
        </w:rPr>
      </w:pPr>
      <w:r>
        <w:rPr>
          <w:rFonts w:hint="eastAsia" w:ascii="仿宋_GB2312" w:eastAsia="仿宋_GB2312"/>
          <w:color w:val="000000" w:themeColor="text1"/>
          <w:spacing w:val="-6"/>
          <w:sz w:val="32"/>
          <w:szCs w:val="32"/>
        </w:rPr>
        <w:t>本办法所称专用停车场，是指主要供单位、住宅小区内部使用，不向社会开放或者有条件向社会开放的停放机动车的场所。</w:t>
      </w:r>
    </w:p>
    <w:p>
      <w:pPr>
        <w:pStyle w:val="6"/>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本办法所称独立建设的停车场，是指根据规划独立建设并向社会开放的停放机动车的场所。</w:t>
      </w:r>
    </w:p>
    <w:p>
      <w:pPr>
        <w:pStyle w:val="6"/>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本办法所称配建停车场，是指为公共建筑、居住区配套建设的停放机动车的场所。</w:t>
      </w:r>
    </w:p>
    <w:p>
      <w:pPr>
        <w:pStyle w:val="6"/>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本办法所称临时停车场，是指临时设置的用于停放机动车的场所，包括道路停车泊位和待建土地、临时空闲场地设置的停车场。</w:t>
      </w:r>
    </w:p>
    <w:p>
      <w:pPr>
        <w:pStyle w:val="6"/>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本办法所称道路停车泊位，是指在道路上依法设置的停放机动车的场所。</w:t>
      </w:r>
    </w:p>
    <w:p>
      <w:pPr>
        <w:pStyle w:val="6"/>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ascii="仿宋_GB2312" w:eastAsia="仿宋_GB2312"/>
          <w:color w:val="000000" w:themeColor="text1"/>
          <w:spacing w:val="-11"/>
          <w:sz w:val="32"/>
          <w:szCs w:val="32"/>
        </w:rPr>
      </w:pPr>
      <w:r>
        <w:rPr>
          <w:rFonts w:hint="eastAsia" w:ascii="黑体" w:eastAsia="黑体"/>
          <w:color w:val="000000" w:themeColor="text1"/>
          <w:sz w:val="32"/>
          <w:szCs w:val="32"/>
        </w:rPr>
        <w:t xml:space="preserve">第四条 </w:t>
      </w:r>
      <w:r>
        <w:rPr>
          <w:rFonts w:hint="eastAsia" w:ascii="黑体" w:eastAsia="黑体"/>
          <w:color w:val="000000" w:themeColor="text1"/>
          <w:sz w:val="32"/>
          <w:szCs w:val="32"/>
          <w:lang w:val="en-US" w:eastAsia="zh-CN"/>
        </w:rPr>
        <w:t xml:space="preserve"> </w:t>
      </w:r>
      <w:r>
        <w:rPr>
          <w:rFonts w:hint="eastAsia" w:ascii="仿宋_GB2312" w:eastAsia="仿宋_GB2312"/>
          <w:color w:val="000000" w:themeColor="text1"/>
          <w:spacing w:val="-11"/>
          <w:sz w:val="32"/>
          <w:szCs w:val="32"/>
        </w:rPr>
        <w:t>停车场的建设与管理遵循“统一规划、合理布局、需求调节、价格引导、便民利民”原则</w:t>
      </w:r>
      <w:r>
        <w:rPr>
          <w:rFonts w:hint="eastAsia" w:ascii="仿宋_GB2312" w:eastAsia="仿宋_GB2312"/>
          <w:color w:val="000000" w:themeColor="text1"/>
          <w:spacing w:val="-11"/>
          <w:sz w:val="32"/>
          <w:szCs w:val="32"/>
          <w:lang w:eastAsia="zh-CN"/>
        </w:rPr>
        <w:t>，</w:t>
      </w:r>
      <w:r>
        <w:rPr>
          <w:rFonts w:hint="eastAsia" w:ascii="仿宋_GB2312" w:eastAsia="仿宋_GB2312"/>
          <w:color w:val="000000" w:themeColor="text1"/>
          <w:spacing w:val="-11"/>
          <w:sz w:val="32"/>
          <w:szCs w:val="32"/>
        </w:rPr>
        <w:t>形成配建停车场为主、独立建设的停车场为辅、临时停车场、道路停车泊位为补充的格局。</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eastAsia="仿宋_GB2312"/>
          <w:color w:val="000000" w:themeColor="text1"/>
          <w:sz w:val="32"/>
          <w:szCs w:val="32"/>
        </w:rPr>
      </w:pPr>
      <w:r>
        <w:rPr>
          <w:rFonts w:hint="eastAsia" w:ascii="黑体" w:eastAsia="黑体"/>
          <w:color w:val="000000" w:themeColor="text1"/>
          <w:sz w:val="32"/>
          <w:szCs w:val="32"/>
        </w:rPr>
        <w:t>第五条</w:t>
      </w:r>
      <w:r>
        <w:rPr>
          <w:rFonts w:hint="eastAsia" w:ascii="黑体" w:eastAsia="黑体"/>
          <w:color w:val="000000" w:themeColor="text1"/>
          <w:sz w:val="32"/>
          <w:szCs w:val="32"/>
          <w:lang w:val="en-US" w:eastAsia="zh-CN"/>
        </w:rPr>
        <w:t xml:space="preserve">  </w:t>
      </w:r>
      <w:r>
        <w:rPr>
          <w:rFonts w:hint="eastAsia" w:ascii="仿宋_GB2312" w:eastAsia="仿宋_GB2312"/>
          <w:color w:val="000000" w:themeColor="text1"/>
          <w:sz w:val="32"/>
          <w:szCs w:val="32"/>
        </w:rPr>
        <w:t>市人民政府负责机动车停车场规划、建设和监督管理工作的统一领导，建立停车管理协调机制，研究解决机动车停车场规划、建设和监督管理等方面重大问题。</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rPr>
        <w:t>市综合行政执法部门</w:t>
      </w:r>
      <w:r>
        <w:rPr>
          <w:rFonts w:hint="eastAsia" w:ascii="仿宋_GB2312" w:eastAsia="仿宋_GB2312"/>
          <w:color w:val="000000" w:themeColor="text1"/>
          <w:sz w:val="32"/>
          <w:szCs w:val="32"/>
        </w:rPr>
        <w:t>负责城区公共停车场管理，并会同公安交通管理、城乡规划等主管部门共同实施城区公共停车场、城市道路停车泊位等停车设施的设置、施划和运营监管，以及停车场、道路停车泊位收费的管理工作。</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市发展改革部门负责制定属于政府定价或政府指导价范围内的，且经过备案的停车场所的车辆停放服务收费标准及规范收费管理工作。</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eastAsia="仿宋_GB2312"/>
          <w:color w:val="000000" w:themeColor="text1"/>
          <w:sz w:val="32"/>
          <w:szCs w:val="32"/>
        </w:rPr>
      </w:pPr>
      <w:r>
        <w:rPr>
          <w:rFonts w:hint="eastAsia" w:ascii="仿宋_GB2312" w:hAnsi="宋体" w:eastAsia="仿宋_GB2312" w:cs="宋体"/>
          <w:color w:val="000000" w:themeColor="text1"/>
          <w:kern w:val="0"/>
          <w:sz w:val="32"/>
          <w:szCs w:val="32"/>
        </w:rPr>
        <w:t>市市场监督管理部门负责全市机动车停放服务收费行为的监督管理工作</w:t>
      </w:r>
      <w:r>
        <w:rPr>
          <w:rFonts w:hint="eastAsia" w:ascii="仿宋_GB2312" w:eastAsia="仿宋_GB2312"/>
          <w:color w:val="000000" w:themeColor="text1"/>
          <w:sz w:val="32"/>
          <w:szCs w:val="32"/>
        </w:rPr>
        <w:t>。</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eastAsia="仿宋_GB2312"/>
          <w:color w:val="000000" w:themeColor="text1"/>
          <w:sz w:val="32"/>
        </w:rPr>
      </w:pPr>
      <w:r>
        <w:rPr>
          <w:rFonts w:hint="eastAsia" w:ascii="仿宋_GB2312" w:eastAsia="仿宋_GB2312"/>
          <w:color w:val="000000" w:themeColor="text1"/>
          <w:sz w:val="32"/>
          <w:szCs w:val="32"/>
        </w:rPr>
        <w:t>市消防救援大队</w:t>
      </w:r>
      <w:r>
        <w:rPr>
          <w:rFonts w:hint="eastAsia" w:ascii="仿宋_GB2312" w:eastAsia="仿宋_GB2312"/>
          <w:color w:val="000000" w:themeColor="text1"/>
          <w:sz w:val="32"/>
        </w:rPr>
        <w:t>负责指导公安派出所做好住宅小区的消防车通道检查工作，对占用（堵塞）消防车通道的违法行为，依据职责依法查处。</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hAnsi="仿宋" w:eastAsia="仿宋_GB2312" w:cs="仿宋_GB2312"/>
          <w:color w:val="000000" w:themeColor="text1"/>
          <w:sz w:val="32"/>
          <w:szCs w:val="32"/>
        </w:rPr>
      </w:pPr>
      <w:r>
        <w:rPr>
          <w:rFonts w:hint="eastAsia" w:ascii="仿宋_GB2312" w:hAnsi="仿宋" w:eastAsia="仿宋_GB2312" w:cs="仿宋_GB2312"/>
          <w:color w:val="000000" w:themeColor="text1"/>
          <w:sz w:val="32"/>
          <w:szCs w:val="32"/>
        </w:rPr>
        <w:t>市财政、税务、自然资源、住房建设、交通运输等其他相关部门在各自职责范围内协助做好停车场管理工作。</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hAnsi="仿宋" w:eastAsia="仿宋_GB2312" w:cs="仿宋_GB2312"/>
          <w:color w:val="000000" w:themeColor="text1"/>
          <w:sz w:val="32"/>
          <w:szCs w:val="32"/>
        </w:rPr>
      </w:pPr>
      <w:r>
        <w:rPr>
          <w:rFonts w:hint="eastAsia" w:ascii="仿宋_GB2312" w:hAnsi="仿宋" w:eastAsia="仿宋_GB2312" w:cs="仿宋_GB2312"/>
          <w:color w:val="000000" w:themeColor="text1"/>
          <w:sz w:val="32"/>
          <w:szCs w:val="32"/>
        </w:rPr>
        <w:t>各</w:t>
      </w:r>
      <w:r>
        <w:rPr>
          <w:rFonts w:hint="eastAsia" w:ascii="仿宋_GB2312" w:eastAsia="仿宋_GB2312"/>
          <w:color w:val="000000" w:themeColor="text1"/>
          <w:sz w:val="32"/>
          <w:szCs w:val="32"/>
        </w:rPr>
        <w:t>街道办事处负责本辖区内机动车停车场建设和停放管理的统筹协调，指导辖区内机动车停车管理、停车资源调查和宣传教育等工作。</w:t>
      </w:r>
    </w:p>
    <w:p>
      <w:pPr>
        <w:pStyle w:val="6"/>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ascii="黑体" w:eastAsia="黑体"/>
          <w:color w:val="000000" w:themeColor="text1"/>
          <w:spacing w:val="-6"/>
          <w:sz w:val="32"/>
          <w:szCs w:val="32"/>
        </w:rPr>
      </w:pPr>
      <w:r>
        <w:rPr>
          <w:rFonts w:hint="eastAsia" w:ascii="黑体" w:eastAsia="黑体"/>
          <w:color w:val="000000" w:themeColor="text1"/>
          <w:sz w:val="32"/>
          <w:szCs w:val="32"/>
        </w:rPr>
        <w:t>第六条</w:t>
      </w:r>
      <w:r>
        <w:rPr>
          <w:rFonts w:hint="eastAsia" w:ascii="黑体" w:eastAsia="黑体"/>
          <w:color w:val="000000" w:themeColor="text1"/>
          <w:sz w:val="32"/>
          <w:szCs w:val="32"/>
          <w:lang w:val="en-US" w:eastAsia="zh-CN"/>
        </w:rPr>
        <w:t xml:space="preserve">  </w:t>
      </w:r>
      <w:r>
        <w:rPr>
          <w:rFonts w:hint="eastAsia" w:ascii="仿宋_GB2312" w:eastAsia="仿宋_GB2312"/>
          <w:color w:val="000000" w:themeColor="text1"/>
          <w:spacing w:val="-6"/>
          <w:sz w:val="32"/>
          <w:szCs w:val="32"/>
        </w:rPr>
        <w:t>城市停车专项规划由市综合行政执法部门会同有关部门组织编制，报市政府审批后，纳入城市国土空间规划。经批准的城市停车专项规划，任何单位或者个人不得擅自变更。确需要变更的，应当报原审批机关批准。</w:t>
      </w:r>
    </w:p>
    <w:p>
      <w:pPr>
        <w:pStyle w:val="6"/>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ascii="仿宋_GB2312" w:eastAsia="仿宋_GB2312"/>
          <w:color w:val="000000" w:themeColor="text1"/>
          <w:sz w:val="32"/>
          <w:szCs w:val="32"/>
        </w:rPr>
      </w:pPr>
      <w:r>
        <w:rPr>
          <w:rFonts w:hint="eastAsia" w:ascii="黑体" w:eastAsia="黑体"/>
          <w:color w:val="000000" w:themeColor="text1"/>
          <w:sz w:val="32"/>
          <w:szCs w:val="32"/>
        </w:rPr>
        <w:t>第七条</w:t>
      </w:r>
      <w:r>
        <w:rPr>
          <w:rFonts w:hint="eastAsia" w:ascii="黑体" w:eastAsia="黑体"/>
          <w:color w:val="000000" w:themeColor="text1"/>
          <w:sz w:val="32"/>
          <w:szCs w:val="32"/>
          <w:lang w:val="en-US" w:eastAsia="zh-CN"/>
        </w:rPr>
        <w:t xml:space="preserve">  </w:t>
      </w:r>
      <w:r>
        <w:rPr>
          <w:rFonts w:hint="eastAsia" w:ascii="仿宋_GB2312" w:eastAsia="仿宋_GB2312"/>
          <w:color w:val="000000" w:themeColor="text1"/>
          <w:sz w:val="32"/>
          <w:szCs w:val="32"/>
        </w:rPr>
        <w:t>停车场建设应当符合城市国土空间规划，严格按照国家、行业标准进行建设，不得影响道路、广场、绿地以及原有设施的使用功能和安全。</w:t>
      </w:r>
    </w:p>
    <w:p>
      <w:pPr>
        <w:pStyle w:val="6"/>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公共停车场建设完成并经相关部门验收后，应及时移交给管理部门，由管理部门进行维护。未履行交接手续的由建设单位负责维护管理。</w:t>
      </w:r>
    </w:p>
    <w:p>
      <w:pPr>
        <w:pStyle w:val="6"/>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hint="eastAsia" w:ascii="仿宋_GB2312" w:eastAsia="仿宋_GB2312"/>
          <w:color w:val="000000" w:themeColor="text1"/>
          <w:sz w:val="32"/>
          <w:szCs w:val="32"/>
        </w:rPr>
      </w:pPr>
      <w:r>
        <w:rPr>
          <w:rFonts w:hint="eastAsia" w:ascii="黑体" w:eastAsia="黑体"/>
          <w:color w:val="000000" w:themeColor="text1"/>
          <w:sz w:val="32"/>
          <w:szCs w:val="32"/>
        </w:rPr>
        <w:t>第八条</w:t>
      </w:r>
      <w:r>
        <w:rPr>
          <w:rFonts w:hint="eastAsia" w:ascii="黑体" w:eastAsia="黑体"/>
          <w:color w:val="000000" w:themeColor="text1"/>
          <w:sz w:val="32"/>
          <w:szCs w:val="32"/>
          <w:lang w:val="en-US" w:eastAsia="zh-CN"/>
        </w:rPr>
        <w:t xml:space="preserve">  </w:t>
      </w:r>
      <w:r>
        <w:rPr>
          <w:rFonts w:hint="eastAsia" w:ascii="仿宋_GB2312" w:eastAsia="仿宋_GB2312"/>
          <w:color w:val="000000" w:themeColor="text1"/>
          <w:sz w:val="32"/>
          <w:szCs w:val="32"/>
        </w:rPr>
        <w:t>新建、改建、扩建公共建筑、居住区等，应当按照国家和市政府有关规定和规划指标，配建机动车停车场</w:t>
      </w:r>
      <w:r>
        <w:rPr>
          <w:rFonts w:hint="eastAsia" w:ascii="仿宋_GB2312" w:eastAsia="仿宋_GB2312"/>
          <w:color w:val="000000" w:themeColor="text1"/>
          <w:sz w:val="32"/>
          <w:szCs w:val="32"/>
          <w:lang w:eastAsia="zh-CN"/>
        </w:rPr>
        <w:t>，</w:t>
      </w:r>
      <w:r>
        <w:rPr>
          <w:rFonts w:hint="eastAsia" w:ascii="仿宋_GB2312" w:eastAsia="仿宋_GB2312"/>
          <w:color w:val="000000" w:themeColor="text1"/>
          <w:sz w:val="32"/>
          <w:szCs w:val="32"/>
          <w:lang w:val="en-US" w:eastAsia="zh-CN"/>
        </w:rPr>
        <w:t>并根据电动车辆发展需求同步建设充电设施。</w:t>
      </w:r>
      <w:r>
        <w:rPr>
          <w:rFonts w:hint="eastAsia" w:ascii="仿宋_GB2312" w:eastAsia="仿宋_GB2312"/>
          <w:color w:val="000000" w:themeColor="text1"/>
          <w:sz w:val="32"/>
          <w:szCs w:val="32"/>
        </w:rPr>
        <w:t>配套建设的停车场应当与主体工程同步设计、同步施工、同步验收、同步交付使用。</w:t>
      </w:r>
    </w:p>
    <w:p>
      <w:pPr>
        <w:pStyle w:val="6"/>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hint="default" w:ascii="仿宋_GB2312" w:eastAsia="仿宋_GB2312"/>
          <w:color w:val="000000" w:themeColor="text1"/>
          <w:sz w:val="32"/>
          <w:szCs w:val="32"/>
          <w:lang w:val="en-US" w:eastAsia="zh-CN"/>
        </w:rPr>
      </w:pPr>
      <w:r>
        <w:rPr>
          <w:rFonts w:hint="eastAsia" w:ascii="仿宋_GB2312" w:eastAsia="仿宋_GB2312"/>
          <w:color w:val="000000" w:themeColor="text1"/>
          <w:sz w:val="32"/>
          <w:szCs w:val="32"/>
        </w:rPr>
        <w:t>大型商业街区、医院、</w:t>
      </w:r>
      <w:r>
        <w:rPr>
          <w:rFonts w:hint="eastAsia" w:ascii="仿宋_GB2312" w:eastAsia="仿宋_GB2312"/>
          <w:color w:val="000000" w:themeColor="text1"/>
          <w:sz w:val="32"/>
          <w:szCs w:val="32"/>
          <w:lang w:val="en-US" w:eastAsia="zh-CN"/>
        </w:rPr>
        <w:t>学校、</w:t>
      </w:r>
      <w:r>
        <w:rPr>
          <w:rFonts w:hint="eastAsia" w:ascii="仿宋_GB2312" w:eastAsia="仿宋_GB2312"/>
          <w:color w:val="000000" w:themeColor="text1"/>
          <w:sz w:val="32"/>
          <w:szCs w:val="32"/>
        </w:rPr>
        <w:t>城市公园广场等停车需求重点区域应当充分利用地上地下空间，建设地下停车场、机械式立体停车库，有效增加车位供给。</w:t>
      </w:r>
    </w:p>
    <w:p>
      <w:pPr>
        <w:pStyle w:val="6"/>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居住区配建的停车场（库）应当优先满足业主、物业使用人停车需要。业主、物业使用人要求承租车库的，建设单位不得以只售不租为由拒绝。</w:t>
      </w:r>
    </w:p>
    <w:p>
      <w:pPr>
        <w:pStyle w:val="6"/>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ascii="仿宋_GB2312" w:eastAsia="仿宋_GB2312"/>
          <w:color w:val="000000" w:themeColor="text1"/>
          <w:sz w:val="32"/>
          <w:szCs w:val="32"/>
        </w:rPr>
      </w:pPr>
      <w:r>
        <w:rPr>
          <w:rFonts w:hint="eastAsia" w:ascii="黑体" w:eastAsia="黑体"/>
          <w:color w:val="000000" w:themeColor="text1"/>
          <w:sz w:val="32"/>
          <w:szCs w:val="32"/>
        </w:rPr>
        <w:t xml:space="preserve"> 第九条</w:t>
      </w:r>
      <w:r>
        <w:rPr>
          <w:rFonts w:hint="eastAsia" w:ascii="黑体" w:eastAsia="黑体"/>
          <w:color w:val="000000" w:themeColor="text1"/>
          <w:sz w:val="32"/>
          <w:szCs w:val="32"/>
          <w:lang w:val="en-US" w:eastAsia="zh-CN"/>
        </w:rPr>
        <w:t xml:space="preserve">  </w:t>
      </w:r>
      <w:r>
        <w:rPr>
          <w:rFonts w:hint="eastAsia" w:ascii="仿宋_GB2312" w:eastAsia="仿宋_GB2312"/>
          <w:color w:val="000000" w:themeColor="text1"/>
          <w:sz w:val="32"/>
          <w:szCs w:val="32"/>
        </w:rPr>
        <w:t>专用停车场在满足自身停车需求的条件下，可以向社会公众开放。提供有偿服务的，其管理参照本办法有关公共停车场的规定执行。</w:t>
      </w:r>
    </w:p>
    <w:p>
      <w:pPr>
        <w:pStyle w:val="6"/>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鼓励单位和居住区在满足本单位、本居住区居民停车需求的情况下将配建停车场向社会开放；鼓励有条件的单位将配建停车场在保证安全条件下非工作时间向社会限时开放；鼓励单位和个人实行停车泊位错时共享。提供有偿服务的，其管理参照本办法有关公共停车场的规定执行。</w:t>
      </w:r>
    </w:p>
    <w:p>
      <w:pPr>
        <w:keepNext w:val="0"/>
        <w:keepLines w:val="0"/>
        <w:pageBreakBefore w:val="0"/>
        <w:kinsoku/>
        <w:wordWrap/>
        <w:overflowPunct/>
        <w:topLinePunct w:val="0"/>
        <w:autoSpaceDE/>
        <w:autoSpaceDN/>
        <w:bidi w:val="0"/>
        <w:snapToGrid w:val="0"/>
        <w:spacing w:line="600" w:lineRule="exact"/>
        <w:ind w:firstLine="640" w:firstLineChars="200"/>
        <w:textAlignment w:val="auto"/>
        <w:rPr>
          <w:rFonts w:ascii="黑体" w:eastAsia="黑体"/>
          <w:color w:val="000000" w:themeColor="text1"/>
          <w:sz w:val="32"/>
          <w:szCs w:val="32"/>
        </w:rPr>
      </w:pPr>
      <w:r>
        <w:rPr>
          <w:rFonts w:hint="eastAsia" w:ascii="黑体" w:eastAsia="黑体"/>
          <w:color w:val="000000" w:themeColor="text1"/>
          <w:sz w:val="32"/>
          <w:szCs w:val="32"/>
        </w:rPr>
        <w:t>第十条</w:t>
      </w:r>
      <w:r>
        <w:rPr>
          <w:rFonts w:hint="eastAsia" w:ascii="黑体" w:eastAsia="黑体"/>
          <w:color w:val="000000" w:themeColor="text1"/>
          <w:sz w:val="32"/>
          <w:szCs w:val="32"/>
          <w:lang w:val="en-US" w:eastAsia="zh-CN"/>
        </w:rPr>
        <w:t xml:space="preserve">  </w:t>
      </w:r>
      <w:r>
        <w:rPr>
          <w:rFonts w:hint="eastAsia" w:ascii="仿宋_GB2312" w:hAnsi="宋体" w:eastAsia="仿宋_GB2312" w:cs="宋体"/>
          <w:color w:val="000000" w:themeColor="text1"/>
          <w:kern w:val="0"/>
          <w:sz w:val="32"/>
          <w:szCs w:val="32"/>
        </w:rPr>
        <w:t>政府储备土地、企事业单位自有闲置土地、待建土地、边角空地等场所闲置的，可以设置临时公共停车场。</w:t>
      </w:r>
    </w:p>
    <w:p>
      <w:pPr>
        <w:pStyle w:val="6"/>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ascii="仿宋_GB2312" w:eastAsia="仿宋_GB2312"/>
          <w:color w:val="000000" w:themeColor="text1"/>
          <w:sz w:val="32"/>
          <w:szCs w:val="32"/>
        </w:rPr>
      </w:pPr>
      <w:r>
        <w:rPr>
          <w:rFonts w:hint="eastAsia" w:ascii="黑体" w:hAnsi="仿宋_GB2312" w:eastAsia="黑体"/>
          <w:bCs/>
          <w:color w:val="000000" w:themeColor="text1"/>
          <w:sz w:val="32"/>
        </w:rPr>
        <w:t>第十一条</w:t>
      </w:r>
      <w:r>
        <w:rPr>
          <w:rFonts w:hint="eastAsia" w:ascii="黑体" w:hAnsi="仿宋_GB2312" w:eastAsia="黑体"/>
          <w:bCs/>
          <w:color w:val="000000" w:themeColor="text1"/>
          <w:sz w:val="32"/>
          <w:lang w:val="en-US" w:eastAsia="zh-CN"/>
        </w:rPr>
        <w:t xml:space="preserve">  </w:t>
      </w:r>
      <w:r>
        <w:rPr>
          <w:rFonts w:hint="eastAsia" w:ascii="仿宋_GB2312" w:eastAsia="仿宋_GB2312"/>
          <w:color w:val="000000" w:themeColor="text1"/>
          <w:sz w:val="32"/>
          <w:szCs w:val="32"/>
        </w:rPr>
        <w:t>任何单位和个人不得擅自停止使用停车场（库），不得将停车场改作他用，因实现原规划用途将临时停车场停止使用的除外。已建成停车场擅自停止使用，部分或全部改作他用的，由市公安交通管理部门依法查处。</w:t>
      </w:r>
    </w:p>
    <w:p>
      <w:pPr>
        <w:pStyle w:val="6"/>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ascii="黑体" w:hAnsi="仿宋_GB2312" w:eastAsia="黑体"/>
          <w:bCs/>
          <w:color w:val="000000" w:themeColor="text1"/>
          <w:sz w:val="32"/>
        </w:rPr>
      </w:pPr>
      <w:r>
        <w:rPr>
          <w:rFonts w:hint="eastAsia" w:ascii="黑体" w:eastAsia="黑体"/>
          <w:color w:val="000000" w:themeColor="text1"/>
          <w:sz w:val="32"/>
          <w:szCs w:val="32"/>
        </w:rPr>
        <w:t>第十二条</w:t>
      </w:r>
      <w:r>
        <w:rPr>
          <w:rFonts w:hint="eastAsia" w:ascii="黑体" w:eastAsia="黑体"/>
          <w:color w:val="000000" w:themeColor="text1"/>
          <w:sz w:val="32"/>
          <w:szCs w:val="32"/>
          <w:lang w:val="en-US" w:eastAsia="zh-CN"/>
        </w:rPr>
        <w:t xml:space="preserve">  </w:t>
      </w:r>
      <w:r>
        <w:rPr>
          <w:rFonts w:hint="eastAsia" w:ascii="仿宋_GB2312" w:eastAsia="仿宋_GB2312"/>
          <w:color w:val="000000" w:themeColor="text1"/>
          <w:sz w:val="32"/>
          <w:szCs w:val="32"/>
        </w:rPr>
        <w:t>市公安交通管理、综合执法部门可以根据道路交通状况、周边停车需求情况，在城市道路上依法设置和调整道路临时停车泊位，并予以公示。</w:t>
      </w:r>
    </w:p>
    <w:p>
      <w:pPr>
        <w:keepNext w:val="0"/>
        <w:keepLines w:val="0"/>
        <w:pageBreakBefore w:val="0"/>
        <w:kinsoku/>
        <w:wordWrap/>
        <w:overflowPunct/>
        <w:topLinePunct w:val="0"/>
        <w:autoSpaceDE/>
        <w:autoSpaceDN/>
        <w:bidi w:val="0"/>
        <w:snapToGrid w:val="0"/>
        <w:spacing w:line="600" w:lineRule="exact"/>
        <w:ind w:firstLine="640" w:firstLineChars="200"/>
        <w:textAlignment w:val="auto"/>
        <w:rPr>
          <w:rFonts w:hint="eastAsia" w:ascii="仿宋_GB2312" w:hAnsi="宋体" w:eastAsia="仿宋_GB2312" w:cs="宋体"/>
          <w:color w:val="000000" w:themeColor="text1"/>
          <w:kern w:val="0"/>
          <w:sz w:val="32"/>
          <w:szCs w:val="32"/>
          <w:lang w:eastAsia="zh-CN"/>
        </w:rPr>
      </w:pPr>
      <w:r>
        <w:rPr>
          <w:rFonts w:hint="eastAsia" w:ascii="黑体" w:eastAsia="黑体"/>
          <w:color w:val="000000" w:themeColor="text1"/>
          <w:sz w:val="32"/>
          <w:szCs w:val="32"/>
        </w:rPr>
        <w:t>第十三条</w:t>
      </w:r>
      <w:r>
        <w:rPr>
          <w:rFonts w:hint="eastAsia" w:ascii="黑体" w:eastAsia="黑体"/>
          <w:color w:val="000000" w:themeColor="text1"/>
          <w:sz w:val="32"/>
          <w:szCs w:val="32"/>
          <w:lang w:val="en-US" w:eastAsia="zh-CN"/>
        </w:rPr>
        <w:t xml:space="preserve">  </w:t>
      </w:r>
      <w:r>
        <w:rPr>
          <w:rFonts w:hint="eastAsia" w:ascii="仿宋_GB2312" w:hAnsi="宋体" w:eastAsia="仿宋_GB2312" w:cs="宋体"/>
          <w:color w:val="000000" w:themeColor="text1"/>
          <w:kern w:val="0"/>
          <w:sz w:val="32"/>
          <w:szCs w:val="32"/>
        </w:rPr>
        <w:t>按照</w:t>
      </w:r>
      <w:r>
        <w:rPr>
          <w:rFonts w:hint="eastAsia" w:ascii="仿宋_GB2312" w:hAnsi="宋体" w:eastAsia="仿宋_GB2312" w:cs="宋体"/>
          <w:color w:val="000000" w:themeColor="text1"/>
          <w:kern w:val="0"/>
          <w:sz w:val="32"/>
          <w:szCs w:val="32"/>
          <w:lang w:eastAsia="zh-CN"/>
        </w:rPr>
        <w:t>“</w:t>
      </w:r>
      <w:r>
        <w:rPr>
          <w:rFonts w:hint="eastAsia" w:ascii="仿宋_GB2312" w:hAnsi="宋体" w:eastAsia="仿宋_GB2312" w:cs="宋体"/>
          <w:color w:val="000000" w:themeColor="text1"/>
          <w:kern w:val="0"/>
          <w:sz w:val="32"/>
          <w:szCs w:val="32"/>
        </w:rPr>
        <w:t>谁投资、谁受益</w:t>
      </w:r>
      <w:r>
        <w:rPr>
          <w:rFonts w:hint="eastAsia" w:ascii="仿宋_GB2312" w:hAnsi="宋体" w:eastAsia="仿宋_GB2312" w:cs="宋体"/>
          <w:color w:val="000000" w:themeColor="text1"/>
          <w:kern w:val="0"/>
          <w:sz w:val="32"/>
          <w:szCs w:val="32"/>
          <w:lang w:eastAsia="zh-CN"/>
        </w:rPr>
        <w:t>”</w:t>
      </w:r>
      <w:r>
        <w:rPr>
          <w:rFonts w:hint="eastAsia" w:ascii="仿宋_GB2312" w:hAnsi="宋体" w:eastAsia="仿宋_GB2312" w:cs="宋体"/>
          <w:color w:val="000000" w:themeColor="text1"/>
          <w:kern w:val="0"/>
          <w:sz w:val="32"/>
          <w:szCs w:val="32"/>
        </w:rPr>
        <w:t>的原则，鼓励社会资本投资建设、运营公共停车场</w:t>
      </w:r>
      <w:r>
        <w:rPr>
          <w:rFonts w:hint="eastAsia" w:ascii="仿宋_GB2312" w:hAnsi="宋体" w:eastAsia="仿宋_GB2312" w:cs="宋体"/>
          <w:color w:val="000000" w:themeColor="text1"/>
          <w:kern w:val="0"/>
          <w:sz w:val="32"/>
          <w:szCs w:val="32"/>
          <w:lang w:eastAsia="zh-CN"/>
        </w:rPr>
        <w:t>。</w:t>
      </w:r>
    </w:p>
    <w:p>
      <w:pPr>
        <w:pStyle w:val="6"/>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ascii="黑体" w:eastAsia="黑体"/>
          <w:color w:val="000000" w:themeColor="text1"/>
          <w:sz w:val="32"/>
          <w:szCs w:val="32"/>
        </w:rPr>
      </w:pPr>
      <w:r>
        <w:rPr>
          <w:rFonts w:hint="eastAsia" w:ascii="黑体" w:hAnsi="仿宋_GB2312" w:eastAsia="黑体"/>
          <w:bCs/>
          <w:color w:val="000000" w:themeColor="text1"/>
          <w:sz w:val="32"/>
        </w:rPr>
        <w:t>第十四条</w:t>
      </w:r>
      <w:r>
        <w:rPr>
          <w:rFonts w:hint="eastAsia" w:ascii="黑体" w:hAnsi="仿宋_GB2312" w:eastAsia="黑体"/>
          <w:bCs/>
          <w:color w:val="000000" w:themeColor="text1"/>
          <w:sz w:val="32"/>
          <w:lang w:val="en-US" w:eastAsia="zh-CN"/>
        </w:rPr>
        <w:t xml:space="preserve">  </w:t>
      </w:r>
      <w:r>
        <w:rPr>
          <w:rFonts w:hint="eastAsia" w:ascii="仿宋_GB2312" w:eastAsia="仿宋_GB2312"/>
          <w:color w:val="000000" w:themeColor="text1"/>
          <w:sz w:val="32"/>
          <w:szCs w:val="32"/>
        </w:rPr>
        <w:t>市综合行政执法部门应当会同有关部门、单位实施智慧停车建设，组织建设统一的城市停车基础信息数据库和服务系统智能平台，持续更新城市停车场建设、管理、布局、泊位使用、收费标准等数据，</w:t>
      </w:r>
      <w:r>
        <w:rPr>
          <w:rFonts w:hint="eastAsia" w:ascii="仿宋_GB2312" w:eastAsia="仿宋_GB2312" w:cs="仿宋_GB2312"/>
          <w:color w:val="000000" w:themeColor="text1"/>
          <w:sz w:val="32"/>
          <w:szCs w:val="32"/>
        </w:rPr>
        <w:t>提升停车设施设备系统智慧化水平，提高停车管理和运行效率</w:t>
      </w:r>
      <w:r>
        <w:rPr>
          <w:rFonts w:hint="eastAsia" w:ascii="仿宋_GB2312" w:eastAsia="仿宋_GB2312"/>
          <w:color w:val="000000" w:themeColor="text1"/>
          <w:sz w:val="32"/>
          <w:szCs w:val="32"/>
        </w:rPr>
        <w:t>。</w:t>
      </w:r>
    </w:p>
    <w:p>
      <w:pPr>
        <w:pStyle w:val="6"/>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ascii="黑体" w:hAnsi="黑体" w:eastAsia="黑体" w:cs="黑体"/>
          <w:color w:val="000000" w:themeColor="text1"/>
          <w:sz w:val="32"/>
          <w:szCs w:val="32"/>
        </w:rPr>
      </w:pPr>
      <w:r>
        <w:rPr>
          <w:rFonts w:hint="eastAsia" w:ascii="黑体" w:hAnsi="仿宋_GB2312" w:eastAsia="黑体" w:cs="Times New Roman"/>
          <w:bCs/>
          <w:color w:val="000000" w:themeColor="text1"/>
          <w:kern w:val="2"/>
          <w:sz w:val="32"/>
        </w:rPr>
        <w:t xml:space="preserve">第十五条 </w:t>
      </w:r>
      <w:r>
        <w:rPr>
          <w:rFonts w:hint="eastAsia" w:ascii="黑体" w:hAnsi="仿宋_GB2312" w:eastAsia="黑体" w:cs="Times New Roman"/>
          <w:bCs/>
          <w:color w:val="000000" w:themeColor="text1"/>
          <w:kern w:val="2"/>
          <w:sz w:val="32"/>
          <w:lang w:val="en-US" w:eastAsia="zh-CN"/>
        </w:rPr>
        <w:t xml:space="preserve"> </w:t>
      </w:r>
      <w:r>
        <w:rPr>
          <w:rFonts w:hint="eastAsia" w:ascii="仿宋_GB2312" w:eastAsia="仿宋_GB2312"/>
          <w:color w:val="000000" w:themeColor="text1"/>
          <w:sz w:val="32"/>
          <w:szCs w:val="32"/>
        </w:rPr>
        <w:t>停车场提供经营性停车服务的，应当依法办理工商登记、税务登记等相关手续，并到市综合行政执法部门办理备案。办理备案时，应当提交下列材料：（一）停车场权属</w:t>
      </w:r>
      <w:r>
        <w:rPr>
          <w:rFonts w:hint="eastAsia" w:ascii="仿宋_GB2312" w:eastAsia="仿宋_GB2312"/>
          <w:color w:val="000000" w:themeColor="text1"/>
          <w:spacing w:val="-6"/>
          <w:sz w:val="32"/>
          <w:szCs w:val="32"/>
        </w:rPr>
        <w:t>证明；（二）规划部门相关手续；（三）营业执照原件及复印件；（四）竣工验收文件；（五）停车泊位平面示意图和方位图；（六）符合规定的停车场设备清单；（七）经营、服务、安全管理制度，突发事件应急预案等；（八）停车诱导系统建设技术说明书及管理运行方案；（九）委托经营的提供委托经营协议。</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仿宋_GB2312" w:hAnsi="宋体" w:eastAsia="仿宋_GB2312" w:cs="宋体"/>
          <w:color w:val="000000" w:themeColor="text1"/>
          <w:kern w:val="0"/>
          <w:sz w:val="32"/>
          <w:szCs w:val="32"/>
        </w:rPr>
      </w:pPr>
      <w:r>
        <w:rPr>
          <w:rFonts w:hint="eastAsia" w:ascii="黑体" w:hAnsi="黑体" w:eastAsia="黑体" w:cs="黑体"/>
          <w:color w:val="000000" w:themeColor="text1"/>
          <w:kern w:val="0"/>
          <w:sz w:val="32"/>
          <w:szCs w:val="32"/>
        </w:rPr>
        <w:t xml:space="preserve">第十六条 </w:t>
      </w:r>
      <w:r>
        <w:rPr>
          <w:rFonts w:hint="eastAsia" w:ascii="黑体" w:hAnsi="黑体" w:eastAsia="黑体" w:cs="黑体"/>
          <w:color w:val="000000" w:themeColor="text1"/>
          <w:kern w:val="0"/>
          <w:sz w:val="32"/>
          <w:szCs w:val="32"/>
          <w:lang w:val="en-US" w:eastAsia="zh-CN"/>
        </w:rPr>
        <w:t xml:space="preserve"> </w:t>
      </w:r>
      <w:r>
        <w:rPr>
          <w:rFonts w:hint="eastAsia" w:ascii="仿宋_GB2312" w:hAnsi="宋体" w:eastAsia="仿宋_GB2312" w:cs="宋体"/>
          <w:color w:val="000000" w:themeColor="text1"/>
          <w:kern w:val="0"/>
          <w:sz w:val="32"/>
          <w:szCs w:val="32"/>
        </w:rPr>
        <w:t>机动车停车场收费实行政府定价、政府指导价和市场调节价。</w:t>
      </w:r>
      <w:r>
        <w:rPr>
          <w:rFonts w:hint="eastAsia" w:ascii="仿宋_GB2312" w:eastAsia="仿宋_GB2312"/>
          <w:color w:val="000000" w:themeColor="text1"/>
          <w:sz w:val="32"/>
          <w:szCs w:val="32"/>
        </w:rPr>
        <w:t>实行政府定价、政府指导价的机动车停车场应当根据实际情况，设定免费停车时间。</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下列停车场实行政府定价或指导价：</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（一）国有资金包括政府财政性资金、城市建设投资（交通投资）公司投资建设的公共停车场；</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（二）依法设立的城市道路临时停车泊位、公共广场临时停车泊位；</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（三）利用公共资源建设的旅游景区（点）等具有垄断性质的配套建设的停车场；</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（四）公立医疗、文化、体育、社会福利等向社会提供公共服务的机构、公益服务场所配套停车场或占用公共资源设置的停车场；</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（五）火车站、汽车站、BRT换乘站、码头等交通场站配套建设的停车场；</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（六）对外开放的机关事业单位停车场；</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（七）</w:t>
      </w:r>
      <w:r>
        <w:rPr>
          <w:rFonts w:hint="eastAsia" w:ascii="仿宋_GB2312" w:eastAsia="仿宋_GB2312"/>
          <w:color w:val="000000" w:themeColor="text1"/>
          <w:spacing w:val="-6"/>
          <w:sz w:val="32"/>
          <w:szCs w:val="32"/>
        </w:rPr>
        <w:t>其他法律、法规和规章规定的政府定价或指导价停车场。</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除上述范围以外的停车场，包括政府与社会资本合作（如PPP方式）以及社会资本全额投资建设的停车场收费实行市场调节价。</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仿宋_GB2312" w:eastAsia="仿宋_GB2312"/>
          <w:color w:val="000000" w:themeColor="text1"/>
          <w:sz w:val="32"/>
          <w:szCs w:val="32"/>
        </w:rPr>
      </w:pPr>
      <w:r>
        <w:rPr>
          <w:rFonts w:hint="eastAsia" w:ascii="黑体" w:hAnsi="黑体" w:eastAsia="黑体" w:cs="黑体"/>
          <w:color w:val="000000" w:themeColor="text1"/>
          <w:sz w:val="32"/>
          <w:szCs w:val="32"/>
        </w:rPr>
        <w:t>第十七条</w:t>
      </w:r>
      <w:r>
        <w:rPr>
          <w:rFonts w:hint="eastAsia" w:ascii="仿宋_GB2312" w:eastAsia="仿宋_GB2312"/>
          <w:color w:val="000000" w:themeColor="text1"/>
          <w:sz w:val="32"/>
          <w:szCs w:val="32"/>
        </w:rPr>
        <w:t xml:space="preserve"> </w:t>
      </w:r>
      <w:r>
        <w:rPr>
          <w:rFonts w:hint="eastAsia" w:ascii="仿宋_GB2312" w:eastAsia="仿宋_GB2312"/>
          <w:color w:val="000000" w:themeColor="text1"/>
          <w:sz w:val="32"/>
          <w:szCs w:val="32"/>
          <w:lang w:val="en-US" w:eastAsia="zh-CN"/>
        </w:rPr>
        <w:t xml:space="preserve"> </w:t>
      </w:r>
      <w:r>
        <w:rPr>
          <w:rFonts w:hint="eastAsia" w:ascii="仿宋_GB2312" w:eastAsia="仿宋_GB2312"/>
          <w:color w:val="000000" w:themeColor="text1"/>
          <w:sz w:val="32"/>
          <w:szCs w:val="32"/>
        </w:rPr>
        <w:t>实行政府定价、政府指导价管理的停车场，在依法办理备案后，应向市发展和改革（价格）部门办理收费标准核定等事宜，未经核准不得收费。申请核准需提供以下材料：</w:t>
      </w:r>
    </w:p>
    <w:p>
      <w:pPr>
        <w:pStyle w:val="7"/>
        <w:keepNext w:val="0"/>
        <w:keepLines w:val="0"/>
        <w:pageBreakBefore w:val="0"/>
        <w:kinsoku/>
        <w:wordWrap/>
        <w:overflowPunct/>
        <w:topLinePunct w:val="0"/>
        <w:autoSpaceDE/>
        <w:autoSpaceDN/>
        <w:bidi w:val="0"/>
        <w:spacing w:after="0" w:line="600" w:lineRule="exact"/>
        <w:ind w:left="0" w:leftChars="0" w:firstLine="640"/>
        <w:textAlignment w:val="auto"/>
        <w:rPr>
          <w:rFonts w:hint="default" w:ascii="仿宋_GB2312" w:eastAsia="仿宋_GB2312"/>
          <w:color w:val="000000" w:themeColor="text1"/>
          <w:sz w:val="32"/>
          <w:szCs w:val="32"/>
        </w:rPr>
      </w:pPr>
      <w:r>
        <w:rPr>
          <w:rFonts w:ascii="仿宋_GB2312" w:eastAsia="仿宋_GB2312"/>
          <w:color w:val="000000" w:themeColor="text1"/>
          <w:sz w:val="32"/>
          <w:szCs w:val="32"/>
        </w:rPr>
        <w:t>（一）营业执照原件及复印件；</w:t>
      </w:r>
    </w:p>
    <w:p>
      <w:pPr>
        <w:pStyle w:val="7"/>
        <w:keepNext w:val="0"/>
        <w:keepLines w:val="0"/>
        <w:pageBreakBefore w:val="0"/>
        <w:kinsoku/>
        <w:wordWrap/>
        <w:overflowPunct/>
        <w:topLinePunct w:val="0"/>
        <w:autoSpaceDE/>
        <w:autoSpaceDN/>
        <w:bidi w:val="0"/>
        <w:spacing w:after="0" w:line="600" w:lineRule="exact"/>
        <w:ind w:left="0" w:leftChars="0" w:firstLine="640"/>
        <w:textAlignment w:val="auto"/>
        <w:rPr>
          <w:rFonts w:hint="default" w:ascii="仿宋_GB2312" w:eastAsia="仿宋_GB2312"/>
          <w:color w:val="000000" w:themeColor="text1"/>
          <w:sz w:val="32"/>
          <w:szCs w:val="32"/>
        </w:rPr>
      </w:pPr>
      <w:r>
        <w:rPr>
          <w:rFonts w:ascii="仿宋_GB2312" w:eastAsia="仿宋_GB2312"/>
          <w:color w:val="000000" w:themeColor="text1"/>
          <w:sz w:val="32"/>
          <w:szCs w:val="32"/>
        </w:rPr>
        <w:t>（二）市综合行政执法部门出具的备案材料；</w:t>
      </w:r>
    </w:p>
    <w:p>
      <w:pPr>
        <w:pStyle w:val="7"/>
        <w:keepNext w:val="0"/>
        <w:keepLines w:val="0"/>
        <w:pageBreakBefore w:val="0"/>
        <w:kinsoku/>
        <w:wordWrap/>
        <w:overflowPunct/>
        <w:topLinePunct w:val="0"/>
        <w:autoSpaceDE/>
        <w:autoSpaceDN/>
        <w:bidi w:val="0"/>
        <w:spacing w:after="0" w:line="600" w:lineRule="exact"/>
        <w:ind w:left="0" w:leftChars="0" w:firstLine="640"/>
        <w:textAlignment w:val="auto"/>
        <w:rPr>
          <w:rFonts w:hint="default" w:ascii="仿宋_GB2312" w:eastAsia="仿宋_GB2312"/>
          <w:color w:val="000000" w:themeColor="text1"/>
          <w:sz w:val="32"/>
          <w:szCs w:val="32"/>
        </w:rPr>
      </w:pPr>
      <w:r>
        <w:rPr>
          <w:rFonts w:ascii="仿宋_GB2312" w:eastAsia="仿宋_GB2312"/>
          <w:color w:val="000000" w:themeColor="text1"/>
          <w:sz w:val="32"/>
          <w:szCs w:val="32"/>
        </w:rPr>
        <w:t>（三）相关核定价格的请示文件；</w:t>
      </w:r>
    </w:p>
    <w:p>
      <w:pPr>
        <w:keepNext w:val="0"/>
        <w:keepLines w:val="0"/>
        <w:pageBreakBefore w:val="0"/>
        <w:kinsoku/>
        <w:wordWrap/>
        <w:overflowPunct/>
        <w:topLinePunct w:val="0"/>
        <w:autoSpaceDE/>
        <w:autoSpaceDN/>
        <w:bidi w:val="0"/>
        <w:snapToGrid w:val="0"/>
        <w:spacing w:line="600" w:lineRule="exact"/>
        <w:ind w:firstLine="640" w:firstLineChars="200"/>
        <w:textAlignment w:val="auto"/>
        <w:rPr>
          <w:rFonts w:ascii="仿宋_GB2312" w:hAnsi="宋体" w:eastAsia="仿宋_GB2312" w:cs="宋体"/>
          <w:color w:val="000000" w:themeColor="text1"/>
          <w:kern w:val="0"/>
          <w:sz w:val="32"/>
          <w:szCs w:val="32"/>
        </w:rPr>
      </w:pPr>
      <w:r>
        <w:rPr>
          <w:rFonts w:hint="eastAsia" w:ascii="仿宋_GB2312" w:hAnsi="宋体" w:eastAsia="仿宋_GB2312" w:cs="宋体"/>
          <w:color w:val="000000" w:themeColor="text1"/>
          <w:kern w:val="0"/>
          <w:sz w:val="32"/>
          <w:szCs w:val="32"/>
          <w:lang w:eastAsia="zh-CN"/>
        </w:rPr>
        <w:t>（</w:t>
      </w:r>
      <w:r>
        <w:rPr>
          <w:rFonts w:hint="eastAsia" w:ascii="仿宋_GB2312" w:hAnsi="宋体" w:eastAsia="仿宋_GB2312" w:cs="宋体"/>
          <w:color w:val="000000" w:themeColor="text1"/>
          <w:kern w:val="0"/>
          <w:sz w:val="32"/>
          <w:szCs w:val="32"/>
          <w:lang w:val="en-US" w:eastAsia="zh-CN"/>
        </w:rPr>
        <w:t>四</w:t>
      </w:r>
      <w:r>
        <w:rPr>
          <w:rFonts w:hint="eastAsia" w:ascii="仿宋_GB2312" w:hAnsi="宋体" w:eastAsia="仿宋_GB2312" w:cs="宋体"/>
          <w:color w:val="000000" w:themeColor="text1"/>
          <w:kern w:val="0"/>
          <w:sz w:val="32"/>
          <w:szCs w:val="32"/>
          <w:lang w:eastAsia="zh-CN"/>
        </w:rPr>
        <w:t>）</w:t>
      </w:r>
      <w:r>
        <w:rPr>
          <w:rFonts w:hint="eastAsia" w:ascii="仿宋_GB2312" w:hAnsi="宋体" w:eastAsia="仿宋_GB2312" w:cs="宋体"/>
          <w:color w:val="000000" w:themeColor="text1"/>
          <w:kern w:val="0"/>
          <w:sz w:val="32"/>
          <w:szCs w:val="32"/>
        </w:rPr>
        <w:t>法律、法规和规章规定需要提供的其它材料。</w:t>
      </w:r>
    </w:p>
    <w:p>
      <w:pPr>
        <w:keepNext w:val="0"/>
        <w:keepLines w:val="0"/>
        <w:pageBreakBefore w:val="0"/>
        <w:kinsoku/>
        <w:wordWrap/>
        <w:overflowPunct/>
        <w:topLinePunct w:val="0"/>
        <w:autoSpaceDE/>
        <w:autoSpaceDN/>
        <w:bidi w:val="0"/>
        <w:snapToGrid w:val="0"/>
        <w:spacing w:line="600" w:lineRule="exact"/>
        <w:ind w:firstLine="640" w:firstLineChars="200"/>
        <w:textAlignment w:val="auto"/>
        <w:rPr>
          <w:rFonts w:ascii="仿宋_GB2312" w:hAnsi="宋体" w:eastAsia="仿宋_GB2312" w:cs="宋体"/>
          <w:color w:val="000000" w:themeColor="text1"/>
          <w:kern w:val="0"/>
          <w:sz w:val="32"/>
          <w:szCs w:val="32"/>
        </w:rPr>
      </w:pPr>
      <w:r>
        <w:rPr>
          <w:rFonts w:hint="eastAsia" w:ascii="黑体" w:hAnsi="黑体" w:eastAsia="黑体" w:cs="黑体"/>
          <w:color w:val="000000" w:themeColor="text1"/>
          <w:kern w:val="0"/>
          <w:sz w:val="32"/>
          <w:szCs w:val="32"/>
        </w:rPr>
        <w:t>第十八条</w:t>
      </w:r>
      <w:r>
        <w:rPr>
          <w:rFonts w:hint="eastAsia" w:ascii="仿宋_GB2312" w:hAnsi="宋体" w:eastAsia="仿宋_GB2312" w:cs="宋体"/>
          <w:color w:val="000000" w:themeColor="text1"/>
          <w:kern w:val="0"/>
          <w:sz w:val="32"/>
          <w:szCs w:val="32"/>
        </w:rPr>
        <w:t xml:space="preserve"> </w:t>
      </w:r>
      <w:r>
        <w:rPr>
          <w:rFonts w:hint="eastAsia" w:ascii="仿宋_GB2312" w:hAnsi="宋体" w:eastAsia="仿宋_GB2312" w:cs="宋体"/>
          <w:color w:val="000000" w:themeColor="text1"/>
          <w:kern w:val="0"/>
          <w:sz w:val="32"/>
          <w:szCs w:val="32"/>
          <w:lang w:val="en-US" w:eastAsia="zh-CN"/>
        </w:rPr>
        <w:t xml:space="preserve"> </w:t>
      </w:r>
      <w:r>
        <w:rPr>
          <w:rFonts w:hint="eastAsia" w:ascii="仿宋_GB2312" w:hAnsi="宋体" w:eastAsia="仿宋_GB2312" w:cs="宋体"/>
          <w:color w:val="000000" w:themeColor="text1"/>
          <w:kern w:val="0"/>
          <w:sz w:val="32"/>
          <w:szCs w:val="32"/>
        </w:rPr>
        <w:t>制定政府定价、政府指导价的停车收费标准应当遵循以下区域性和差别化原则：</w:t>
      </w:r>
    </w:p>
    <w:p>
      <w:pPr>
        <w:keepNext w:val="0"/>
        <w:keepLines w:val="0"/>
        <w:pageBreakBefore w:val="0"/>
        <w:kinsoku/>
        <w:wordWrap/>
        <w:overflowPunct/>
        <w:topLinePunct w:val="0"/>
        <w:autoSpaceDE/>
        <w:autoSpaceDN/>
        <w:bidi w:val="0"/>
        <w:snapToGrid w:val="0"/>
        <w:spacing w:line="600" w:lineRule="exact"/>
        <w:ind w:firstLine="640" w:firstLineChars="200"/>
        <w:textAlignment w:val="auto"/>
        <w:rPr>
          <w:rFonts w:ascii="仿宋_GB2312" w:hAnsi="宋体" w:eastAsia="仿宋_GB2312" w:cs="宋体"/>
          <w:color w:val="000000" w:themeColor="text1"/>
          <w:kern w:val="0"/>
          <w:sz w:val="32"/>
          <w:szCs w:val="32"/>
        </w:rPr>
      </w:pPr>
      <w:r>
        <w:rPr>
          <w:rFonts w:hint="eastAsia" w:ascii="仿宋_GB2312" w:hAnsi="宋体" w:eastAsia="仿宋_GB2312" w:cs="宋体"/>
          <w:color w:val="000000" w:themeColor="text1"/>
          <w:kern w:val="0"/>
          <w:sz w:val="32"/>
          <w:szCs w:val="32"/>
        </w:rPr>
        <w:t>（一）城市中心城区高于一般区域，路内（城市道路临时停车泊位）高于路外，地面高于地下，白天高于晚上，拥堵时段高于空闲时段，长时间高于短时间，大型车高于小型车；</w:t>
      </w:r>
    </w:p>
    <w:p>
      <w:pPr>
        <w:keepNext w:val="0"/>
        <w:keepLines w:val="0"/>
        <w:pageBreakBefore w:val="0"/>
        <w:kinsoku/>
        <w:wordWrap/>
        <w:overflowPunct/>
        <w:topLinePunct w:val="0"/>
        <w:autoSpaceDE/>
        <w:autoSpaceDN/>
        <w:bidi w:val="0"/>
        <w:snapToGrid w:val="0"/>
        <w:spacing w:line="600" w:lineRule="exact"/>
        <w:ind w:firstLine="640" w:firstLineChars="200"/>
        <w:textAlignment w:val="auto"/>
        <w:rPr>
          <w:rFonts w:ascii="仿宋_GB2312" w:hAnsi="宋体" w:eastAsia="仿宋_GB2312" w:cs="宋体"/>
          <w:color w:val="000000" w:themeColor="text1"/>
          <w:kern w:val="0"/>
          <w:sz w:val="32"/>
          <w:szCs w:val="32"/>
        </w:rPr>
      </w:pPr>
      <w:r>
        <w:rPr>
          <w:rFonts w:hint="eastAsia" w:ascii="仿宋_GB2312" w:hAnsi="宋体" w:eastAsia="仿宋_GB2312" w:cs="宋体"/>
          <w:color w:val="000000" w:themeColor="text1"/>
          <w:kern w:val="0"/>
          <w:sz w:val="32"/>
          <w:szCs w:val="32"/>
        </w:rPr>
        <w:t>（二）不同区域、特殊时段，实行不同收费标准。对供需缺口大、矛盾突出的区域可实行较高收费，供需缺口小、矛盾不突出区域实行低收费。对于城市外围的公共交通换乘枢纽停车场，应当实行低收费。</w:t>
      </w:r>
    </w:p>
    <w:p>
      <w:pPr>
        <w:keepNext w:val="0"/>
        <w:keepLines w:val="0"/>
        <w:pageBreakBefore w:val="0"/>
        <w:kinsoku/>
        <w:wordWrap/>
        <w:overflowPunct/>
        <w:topLinePunct w:val="0"/>
        <w:autoSpaceDE/>
        <w:autoSpaceDN/>
        <w:bidi w:val="0"/>
        <w:snapToGrid w:val="0"/>
        <w:spacing w:line="600" w:lineRule="exact"/>
        <w:ind w:firstLine="640" w:firstLineChars="200"/>
        <w:textAlignment w:val="auto"/>
        <w:rPr>
          <w:rFonts w:ascii="黑体" w:hAnsi="仿宋_GB2312" w:eastAsia="黑体"/>
          <w:bCs/>
          <w:color w:val="000000" w:themeColor="text1"/>
          <w:sz w:val="32"/>
          <w:szCs w:val="32"/>
        </w:rPr>
      </w:pPr>
      <w:r>
        <w:rPr>
          <w:rFonts w:hint="eastAsia" w:ascii="仿宋_GB2312" w:hAnsi="宋体" w:eastAsia="仿宋_GB2312" w:cs="宋体"/>
          <w:color w:val="000000" w:themeColor="text1"/>
          <w:kern w:val="0"/>
          <w:sz w:val="32"/>
          <w:szCs w:val="32"/>
        </w:rPr>
        <w:t>机动车停车场服务收费管理办法由市发展和改革部门会同有关部门另行制定，报市人民政府批准后实施。</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hAnsi="仿宋" w:eastAsia="仿宋_GB2312" w:cs="仿宋_GB2312"/>
          <w:color w:val="000000" w:themeColor="text1"/>
          <w:sz w:val="32"/>
          <w:szCs w:val="32"/>
        </w:rPr>
      </w:pPr>
      <w:r>
        <w:rPr>
          <w:rFonts w:hint="eastAsia" w:ascii="黑体" w:hAnsi="仿宋_GB2312" w:eastAsia="黑体"/>
          <w:bCs/>
          <w:color w:val="000000" w:themeColor="text1"/>
          <w:sz w:val="32"/>
          <w:szCs w:val="32"/>
        </w:rPr>
        <w:t>第十九条</w:t>
      </w:r>
      <w:r>
        <w:rPr>
          <w:rFonts w:hint="eastAsia" w:ascii="黑体" w:hAnsi="仿宋_GB2312" w:eastAsia="黑体"/>
          <w:bCs/>
          <w:color w:val="000000" w:themeColor="text1"/>
          <w:sz w:val="32"/>
          <w:szCs w:val="32"/>
          <w:lang w:val="en-US" w:eastAsia="zh-CN"/>
        </w:rPr>
        <w:t xml:space="preserve">  </w:t>
      </w:r>
      <w:r>
        <w:rPr>
          <w:rFonts w:hint="eastAsia" w:ascii="仿宋_GB2312" w:hAnsi="仿宋" w:eastAsia="仿宋_GB2312" w:cs="仿宋_GB2312"/>
          <w:color w:val="000000" w:themeColor="text1"/>
          <w:sz w:val="32"/>
          <w:szCs w:val="32"/>
        </w:rPr>
        <w:t>实行政府定价、政府指导价管理的城区停车服务收费按区域划分为一类和二类两个等级。</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hAnsi="仿宋" w:eastAsia="仿宋_GB2312" w:cs="仿宋_GB2312"/>
          <w:color w:val="000000" w:themeColor="text1"/>
          <w:sz w:val="32"/>
          <w:szCs w:val="32"/>
        </w:rPr>
      </w:pPr>
      <w:r>
        <w:rPr>
          <w:rFonts w:hint="eastAsia" w:ascii="仿宋_GB2312" w:hAnsi="仿宋" w:eastAsia="仿宋_GB2312" w:cs="仿宋_GB2312"/>
          <w:color w:val="000000" w:themeColor="text1"/>
          <w:sz w:val="32"/>
          <w:szCs w:val="32"/>
        </w:rPr>
        <w:t>一类 (中心城区)：红荷路以南、善南路以北、荆泉路以西、鲁班大道以东所闭合的区域；</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hAnsi="仿宋" w:eastAsia="仿宋_GB2312" w:cs="仿宋_GB2312"/>
          <w:color w:val="000000" w:themeColor="text1"/>
          <w:sz w:val="32"/>
          <w:szCs w:val="32"/>
        </w:rPr>
      </w:pPr>
      <w:r>
        <w:rPr>
          <w:rFonts w:hint="eastAsia" w:ascii="仿宋_GB2312" w:hAnsi="仿宋" w:eastAsia="仿宋_GB2312" w:cs="仿宋_GB2312"/>
          <w:color w:val="000000" w:themeColor="text1"/>
          <w:sz w:val="32"/>
          <w:szCs w:val="32"/>
        </w:rPr>
        <w:t>二类 (一般区域)：中心城区以外的城市建成区域。</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eastAsia="仿宋_GB2312"/>
          <w:color w:val="000000" w:themeColor="text1"/>
          <w:sz w:val="32"/>
          <w:szCs w:val="32"/>
        </w:rPr>
      </w:pPr>
      <w:r>
        <w:rPr>
          <w:rFonts w:hint="eastAsia" w:ascii="黑体" w:hAnsi="仿宋_GB2312" w:eastAsia="黑体"/>
          <w:bCs/>
          <w:color w:val="000000" w:themeColor="text1"/>
          <w:sz w:val="32"/>
          <w:szCs w:val="32"/>
        </w:rPr>
        <w:t>第二十条</w:t>
      </w:r>
      <w:r>
        <w:rPr>
          <w:rFonts w:hint="eastAsia" w:ascii="仿宋_GB2312" w:eastAsia="仿宋_GB2312"/>
          <w:color w:val="000000" w:themeColor="text1"/>
          <w:sz w:val="32"/>
          <w:szCs w:val="32"/>
        </w:rPr>
        <w:t xml:space="preserve"> </w:t>
      </w:r>
      <w:r>
        <w:rPr>
          <w:rFonts w:hint="eastAsia" w:ascii="仿宋_GB2312" w:eastAsia="仿宋_GB2312"/>
          <w:color w:val="000000" w:themeColor="text1"/>
          <w:sz w:val="32"/>
          <w:szCs w:val="32"/>
          <w:lang w:val="en-US" w:eastAsia="zh-CN"/>
        </w:rPr>
        <w:t xml:space="preserve"> </w:t>
      </w:r>
      <w:r>
        <w:rPr>
          <w:rFonts w:hint="eastAsia" w:ascii="仿宋_GB2312" w:eastAsia="仿宋_GB2312"/>
          <w:color w:val="000000" w:themeColor="text1"/>
          <w:sz w:val="32"/>
          <w:szCs w:val="32"/>
        </w:rPr>
        <w:t>政府投资建设的停车设施（含城市道路、公共场地设置的停车泊位）收取停车服务费的,应当由政府授权的单位实施,取得的收入应当按照公共资源有偿使用收入管理有关规定纳入非税收入管理系统,专款统筹用于停车设施的建设、运行、管理等，接受审计部门审计和社会监督。</w:t>
      </w:r>
    </w:p>
    <w:p>
      <w:pPr>
        <w:keepNext w:val="0"/>
        <w:keepLines w:val="0"/>
        <w:pageBreakBefore w:val="0"/>
        <w:kinsoku/>
        <w:wordWrap/>
        <w:overflowPunct/>
        <w:topLinePunct w:val="0"/>
        <w:autoSpaceDE/>
        <w:autoSpaceDN/>
        <w:bidi w:val="0"/>
        <w:spacing w:line="600" w:lineRule="exact"/>
        <w:ind w:firstLine="640" w:firstLineChars="200"/>
        <w:textAlignment w:val="auto"/>
        <w:rPr>
          <w:rFonts w:ascii="黑体" w:hAnsi="仿宋_GB2312" w:eastAsia="黑体"/>
          <w:bCs/>
          <w:color w:val="000000" w:themeColor="text1"/>
          <w:sz w:val="32"/>
          <w:szCs w:val="32"/>
        </w:rPr>
      </w:pPr>
      <w:r>
        <w:rPr>
          <w:rFonts w:hint="eastAsia" w:ascii="黑体" w:hAnsi="仿宋_GB2312" w:eastAsia="黑体"/>
          <w:bCs/>
          <w:color w:val="000000" w:themeColor="text1"/>
          <w:sz w:val="32"/>
          <w:szCs w:val="32"/>
        </w:rPr>
        <w:t>第二十一条</w:t>
      </w:r>
      <w:r>
        <w:rPr>
          <w:rFonts w:hint="eastAsia" w:ascii="黑体" w:hAnsi="仿宋_GB2312" w:eastAsia="黑体"/>
          <w:bCs/>
          <w:color w:val="000000" w:themeColor="text1"/>
          <w:sz w:val="32"/>
          <w:szCs w:val="32"/>
          <w:lang w:val="en-US" w:eastAsia="zh-CN"/>
        </w:rPr>
        <w:t xml:space="preserve">  </w:t>
      </w:r>
      <w:r>
        <w:rPr>
          <w:rFonts w:hint="eastAsia" w:ascii="仿宋_GB2312" w:eastAsia="仿宋_GB2312"/>
          <w:color w:val="000000" w:themeColor="text1"/>
          <w:sz w:val="32"/>
          <w:szCs w:val="32"/>
        </w:rPr>
        <w:t>停车场经营或管理者要严格执行《枣庄市机动车停车场明码标价规定》，实行明码标价制度，并遵守下列规定：</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（一）按照有关规范，划设车位标志、停泊方向标志、车辆进出等引导标志，进出口匝机应当与道路保持安全距离;</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（二）在停车场入口处、缴费地点等显著位置公示停车场名称、营业执照、收费标准、监督举报电话等信息；</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（三）组织工作人员定期开展技能培训和安全教育;</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（四）工作人员佩戴证件，注重仪表仪容和服务形象，文明服务、礼貌待人；</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（五）配备与停放规模相适应的照明、通讯、消防和安全防范设施，定期进行维修和养护，提供整洁、安全的停车环境；</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eastAsia="仿宋_GB2312"/>
          <w:color w:val="000000" w:themeColor="text1"/>
          <w:spacing w:val="-11"/>
          <w:sz w:val="32"/>
          <w:szCs w:val="32"/>
        </w:rPr>
      </w:pPr>
      <w:r>
        <w:rPr>
          <w:rFonts w:hint="eastAsia" w:ascii="仿宋_GB2312" w:eastAsia="仿宋_GB2312"/>
          <w:color w:val="000000" w:themeColor="text1"/>
          <w:sz w:val="32"/>
          <w:szCs w:val="32"/>
        </w:rPr>
        <w:t>（六）</w:t>
      </w:r>
      <w:r>
        <w:rPr>
          <w:rFonts w:hint="eastAsia" w:ascii="仿宋_GB2312" w:eastAsia="仿宋_GB2312"/>
          <w:color w:val="000000" w:themeColor="text1"/>
          <w:spacing w:val="-11"/>
          <w:sz w:val="32"/>
          <w:szCs w:val="32"/>
        </w:rPr>
        <w:t>发现长期停放或者可疑的车辆，及时向公安机关报告;</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（七）法律、法规和规章规定的其他义务。</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eastAsia="仿宋_GB2312"/>
          <w:color w:val="000000" w:themeColor="text1"/>
          <w:sz w:val="32"/>
          <w:szCs w:val="32"/>
        </w:rPr>
      </w:pPr>
      <w:r>
        <w:rPr>
          <w:rFonts w:hint="eastAsia" w:ascii="黑体" w:hAnsi="仿宋_GB2312" w:eastAsia="黑体"/>
          <w:bCs/>
          <w:color w:val="000000" w:themeColor="text1"/>
          <w:sz w:val="32"/>
          <w:szCs w:val="32"/>
        </w:rPr>
        <w:t xml:space="preserve">第二十二条  </w:t>
      </w:r>
      <w:r>
        <w:rPr>
          <w:rFonts w:hint="eastAsia" w:hAnsi="宋体" w:eastAsia="仿宋_GB2312" w:cs="宋体"/>
          <w:color w:val="000000" w:themeColor="text1"/>
          <w:kern w:val="0"/>
          <w:sz w:val="32"/>
          <w:szCs w:val="32"/>
        </w:rPr>
        <w:t>停车设施经营或管理者应当遵循公开公平和诚实信用的经营原则，完善停车服务设施设备，加强车辆停放管理。应当</w:t>
      </w:r>
      <w:r>
        <w:rPr>
          <w:rFonts w:hAnsi="宋体" w:eastAsia="仿宋_GB2312" w:cs="宋体"/>
          <w:color w:val="000000" w:themeColor="text1"/>
          <w:kern w:val="0"/>
          <w:sz w:val="32"/>
          <w:szCs w:val="32"/>
        </w:rPr>
        <w:t>配备</w:t>
      </w:r>
      <w:r>
        <w:rPr>
          <w:rFonts w:hint="eastAsia" w:hAnsi="宋体" w:eastAsia="仿宋_GB2312" w:cs="宋体"/>
          <w:color w:val="000000" w:themeColor="text1"/>
          <w:kern w:val="0"/>
          <w:sz w:val="32"/>
          <w:szCs w:val="32"/>
        </w:rPr>
        <w:t>智能化信息设备</w:t>
      </w:r>
      <w:r>
        <w:rPr>
          <w:rFonts w:hAnsi="宋体" w:eastAsia="仿宋_GB2312" w:cs="宋体"/>
          <w:color w:val="000000" w:themeColor="text1"/>
          <w:kern w:val="0"/>
          <w:sz w:val="32"/>
          <w:szCs w:val="32"/>
        </w:rPr>
        <w:t>，</w:t>
      </w:r>
      <w:r>
        <w:rPr>
          <w:rFonts w:hint="eastAsia" w:hAnsi="宋体" w:eastAsia="仿宋_GB2312" w:cs="宋体"/>
          <w:color w:val="000000" w:themeColor="text1"/>
          <w:kern w:val="0"/>
          <w:sz w:val="32"/>
          <w:szCs w:val="32"/>
        </w:rPr>
        <w:t>接入</w:t>
      </w:r>
      <w:r>
        <w:rPr>
          <w:rFonts w:hAnsi="宋体" w:eastAsia="仿宋_GB2312" w:cs="宋体"/>
          <w:color w:val="000000" w:themeColor="text1"/>
          <w:kern w:val="0"/>
          <w:sz w:val="32"/>
          <w:szCs w:val="32"/>
        </w:rPr>
        <w:t>全市</w:t>
      </w:r>
      <w:r>
        <w:rPr>
          <w:rFonts w:hint="eastAsia" w:hAnsi="宋体" w:eastAsia="仿宋_GB2312" w:cs="宋体"/>
          <w:color w:val="000000" w:themeColor="text1"/>
          <w:kern w:val="0"/>
          <w:sz w:val="32"/>
          <w:szCs w:val="32"/>
        </w:rPr>
        <w:t>智慧停车管理信息平台，实现</w:t>
      </w:r>
      <w:r>
        <w:rPr>
          <w:rFonts w:hAnsi="宋体" w:eastAsia="仿宋_GB2312" w:cs="宋体"/>
          <w:color w:val="000000" w:themeColor="text1"/>
          <w:kern w:val="0"/>
          <w:sz w:val="32"/>
          <w:szCs w:val="32"/>
        </w:rPr>
        <w:t>停车信息化，</w:t>
      </w:r>
      <w:r>
        <w:rPr>
          <w:rFonts w:hint="eastAsia" w:hAnsi="宋体" w:eastAsia="仿宋_GB2312" w:cs="宋体"/>
          <w:color w:val="000000" w:themeColor="text1"/>
          <w:kern w:val="0"/>
          <w:sz w:val="32"/>
          <w:szCs w:val="32"/>
        </w:rPr>
        <w:t>为市民提供停车诱导、泊位查询、内部行驶线路导航等信息。</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eastAsia="仿宋_GB2312"/>
          <w:color w:val="000000" w:themeColor="text1"/>
          <w:sz w:val="32"/>
          <w:szCs w:val="32"/>
        </w:rPr>
      </w:pPr>
      <w:r>
        <w:rPr>
          <w:rFonts w:hint="eastAsia" w:ascii="黑体" w:hAnsi="仿宋_GB2312" w:eastAsia="黑体"/>
          <w:bCs/>
          <w:color w:val="000000" w:themeColor="text1"/>
          <w:sz w:val="32"/>
          <w:szCs w:val="32"/>
        </w:rPr>
        <w:t xml:space="preserve">第二十三条  </w:t>
      </w:r>
      <w:r>
        <w:rPr>
          <w:rFonts w:hint="eastAsia" w:ascii="仿宋_GB2312" w:eastAsia="仿宋_GB2312"/>
          <w:color w:val="000000" w:themeColor="text1"/>
          <w:sz w:val="32"/>
          <w:szCs w:val="32"/>
        </w:rPr>
        <w:t>停车服务收费必须使用税务部门统一印制的合法票据。推广使用无感支付、非接触式收费、不停车收费、</w:t>
      </w:r>
      <w:r>
        <w:rPr>
          <w:rFonts w:ascii="仿宋_GB2312" w:eastAsia="仿宋_GB2312"/>
          <w:color w:val="000000" w:themeColor="text1"/>
          <w:sz w:val="32"/>
          <w:szCs w:val="32"/>
        </w:rPr>
        <w:t>先驶离后支付</w:t>
      </w:r>
      <w:r>
        <w:rPr>
          <w:rFonts w:hint="eastAsia" w:ascii="仿宋_GB2312" w:eastAsia="仿宋_GB2312"/>
          <w:color w:val="000000" w:themeColor="text1"/>
          <w:sz w:val="32"/>
          <w:szCs w:val="32"/>
        </w:rPr>
        <w:t>等智能化收费方式，大力推广电子发票。</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eastAsia="仿宋_GB2312"/>
          <w:color w:val="000000" w:themeColor="text1"/>
          <w:sz w:val="32"/>
          <w:szCs w:val="32"/>
        </w:rPr>
      </w:pPr>
      <w:r>
        <w:rPr>
          <w:rFonts w:hint="eastAsia" w:ascii="黑体" w:hAnsi="仿宋_GB2312" w:eastAsia="黑体"/>
          <w:bCs/>
          <w:color w:val="000000" w:themeColor="text1"/>
          <w:sz w:val="32"/>
          <w:szCs w:val="32"/>
        </w:rPr>
        <w:t xml:space="preserve">第二十四条  </w:t>
      </w:r>
      <w:r>
        <w:rPr>
          <w:rFonts w:hint="eastAsia" w:ascii="仿宋_GB2312" w:eastAsia="仿宋_GB2312"/>
          <w:color w:val="000000" w:themeColor="text1"/>
          <w:sz w:val="32"/>
          <w:szCs w:val="32"/>
        </w:rPr>
        <w:t>市市场监督管理部门应当依法加强对机动车停车服务收费行为的监督管理。对不执行政府定价、政府指导价,不按规定实行明码标价等价格违法行为的，依据《中华人民共和国价格法》《价格违法行为行政处罚规定》和《关于商品和服务实行明码标价的规定》等依法进行查处。</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eastAsia="仿宋_GB2312"/>
          <w:color w:val="000000" w:themeColor="text1"/>
          <w:spacing w:val="-6"/>
          <w:sz w:val="32"/>
          <w:szCs w:val="32"/>
        </w:rPr>
      </w:pPr>
      <w:r>
        <w:rPr>
          <w:rFonts w:hint="eastAsia" w:ascii="黑体" w:hAnsi="仿宋_GB2312" w:eastAsia="黑体"/>
          <w:bCs/>
          <w:color w:val="000000" w:themeColor="text1"/>
          <w:sz w:val="32"/>
          <w:szCs w:val="32"/>
        </w:rPr>
        <w:t xml:space="preserve">第二十五条  </w:t>
      </w:r>
      <w:r>
        <w:rPr>
          <w:rFonts w:hint="eastAsia" w:ascii="仿宋_GB2312" w:eastAsia="仿宋_GB2312"/>
          <w:color w:val="000000" w:themeColor="text1"/>
          <w:spacing w:val="-6"/>
          <w:sz w:val="32"/>
          <w:szCs w:val="32"/>
        </w:rPr>
        <w:t>机动车停放者要遵守相关法律、法规和规章的规定，接受停车场所工作人员的指挥调度，爱护停车设施，按照场内交通标志、标线有序停放机动车，按照规定支付停车费用。</w:t>
      </w:r>
    </w:p>
    <w:p>
      <w:pPr>
        <w:pStyle w:val="6"/>
        <w:keepNext w:val="0"/>
        <w:keepLines w:val="0"/>
        <w:pageBreakBefore w:val="0"/>
        <w:shd w:val="clear" w:color="auto" w:fill="FFFFFF"/>
        <w:kinsoku/>
        <w:wordWrap/>
        <w:overflowPunct/>
        <w:topLinePunct w:val="0"/>
        <w:autoSpaceDE/>
        <w:autoSpaceDN/>
        <w:bidi w:val="0"/>
        <w:spacing w:before="0" w:after="0" w:line="600" w:lineRule="exact"/>
        <w:ind w:firstLine="640" w:firstLineChars="200"/>
        <w:jc w:val="both"/>
        <w:textAlignment w:val="auto"/>
        <w:rPr>
          <w:rFonts w:ascii="仿宋_GB2312" w:hAnsi="Calibri" w:eastAsia="仿宋_GB2312" w:cs="Times New Roman"/>
          <w:color w:val="000000" w:themeColor="text1"/>
          <w:kern w:val="2"/>
          <w:sz w:val="32"/>
          <w:szCs w:val="32"/>
        </w:rPr>
      </w:pPr>
      <w:r>
        <w:rPr>
          <w:rFonts w:hint="eastAsia" w:ascii="黑体" w:hAnsi="黑体" w:eastAsia="黑体" w:cs="黑体"/>
          <w:bCs/>
          <w:color w:val="000000" w:themeColor="text1"/>
          <w:kern w:val="2"/>
          <w:sz w:val="32"/>
          <w:szCs w:val="32"/>
        </w:rPr>
        <w:t>第二十六条</w:t>
      </w:r>
      <w:r>
        <w:rPr>
          <w:rFonts w:hint="eastAsia" w:ascii="仿宋_GB2312" w:eastAsia="仿宋_GB2312" w:cs="Times New Roman"/>
          <w:bCs/>
          <w:color w:val="000000" w:themeColor="text1"/>
          <w:kern w:val="2"/>
          <w:sz w:val="32"/>
          <w:szCs w:val="32"/>
        </w:rPr>
        <w:t xml:space="preserve">  对于违法违章</w:t>
      </w:r>
      <w:r>
        <w:rPr>
          <w:rFonts w:hint="eastAsia" w:ascii="仿宋_GB2312" w:hAnsi="Calibri" w:eastAsia="仿宋_GB2312" w:cs="Times New Roman"/>
          <w:bCs/>
          <w:color w:val="000000" w:themeColor="text1"/>
          <w:kern w:val="2"/>
          <w:sz w:val="32"/>
          <w:szCs w:val="32"/>
        </w:rPr>
        <w:t>停车行为，市</w:t>
      </w:r>
      <w:r>
        <w:rPr>
          <w:rFonts w:hint="eastAsia" w:ascii="仿宋_GB2312" w:hAnsi="Calibri" w:eastAsia="仿宋_GB2312" w:cs="Times New Roman"/>
          <w:color w:val="000000" w:themeColor="text1"/>
          <w:kern w:val="2"/>
          <w:sz w:val="32"/>
          <w:szCs w:val="32"/>
        </w:rPr>
        <w:t>公安交通管理、综合行政执法、消防等相关部门要根据《中华人民共和国道路交通安全法》《中华人民共和国道路交通安全法实施条例》《中华人民共和国消防法》等相关规定依法严格处罚。</w:t>
      </w:r>
    </w:p>
    <w:p>
      <w:pPr>
        <w:keepNext w:val="0"/>
        <w:keepLines w:val="0"/>
        <w:pageBreakBefore w:val="0"/>
        <w:widowControl/>
        <w:kinsoku/>
        <w:wordWrap/>
        <w:overflowPunct/>
        <w:topLinePunct w:val="0"/>
        <w:autoSpaceDE/>
        <w:autoSpaceDN/>
        <w:bidi w:val="0"/>
        <w:snapToGrid w:val="0"/>
        <w:spacing w:line="600" w:lineRule="exact"/>
        <w:ind w:firstLine="640" w:firstLineChars="200"/>
        <w:textAlignment w:val="auto"/>
        <w:rPr>
          <w:color w:val="000000" w:themeColor="text1"/>
        </w:rPr>
      </w:pPr>
      <w:r>
        <w:rPr>
          <w:rFonts w:hint="eastAsia" w:ascii="黑体" w:hAnsi="仿宋_GB2312" w:eastAsia="黑体"/>
          <w:bCs/>
          <w:color w:val="000000" w:themeColor="text1"/>
          <w:sz w:val="32"/>
          <w:szCs w:val="32"/>
        </w:rPr>
        <w:t xml:space="preserve">第二十七条 </w:t>
      </w:r>
      <w:r>
        <w:rPr>
          <w:rFonts w:hint="eastAsia" w:ascii="仿宋_GB2312" w:eastAsia="仿宋_GB2312"/>
          <w:color w:val="000000" w:themeColor="text1"/>
          <w:sz w:val="32"/>
          <w:szCs w:val="32"/>
        </w:rPr>
        <w:t xml:space="preserve"> 本办法自2021年</w:t>
      </w:r>
      <w:r>
        <w:rPr>
          <w:rFonts w:hint="eastAsia" w:ascii="仿宋_GB2312" w:eastAsia="仿宋_GB2312"/>
          <w:color w:val="000000" w:themeColor="text1"/>
          <w:sz w:val="32"/>
          <w:szCs w:val="32"/>
          <w:lang w:val="en-US" w:eastAsia="zh-CN"/>
        </w:rPr>
        <w:t>12</w:t>
      </w:r>
      <w:r>
        <w:rPr>
          <w:rFonts w:hint="eastAsia" w:ascii="仿宋_GB2312" w:eastAsia="仿宋_GB2312"/>
          <w:color w:val="000000" w:themeColor="text1"/>
          <w:sz w:val="32"/>
          <w:szCs w:val="32"/>
        </w:rPr>
        <w:t>月</w:t>
      </w:r>
      <w:r>
        <w:rPr>
          <w:rFonts w:hint="eastAsia" w:ascii="仿宋_GB2312" w:eastAsia="仿宋_GB2312"/>
          <w:color w:val="000000" w:themeColor="text1"/>
          <w:sz w:val="32"/>
          <w:szCs w:val="32"/>
          <w:lang w:val="en-US" w:eastAsia="zh-CN"/>
        </w:rPr>
        <w:t>20</w:t>
      </w:r>
      <w:r>
        <w:rPr>
          <w:rFonts w:hint="eastAsia" w:ascii="仿宋_GB2312" w:eastAsia="仿宋_GB2312"/>
          <w:color w:val="000000" w:themeColor="text1"/>
          <w:sz w:val="32"/>
          <w:szCs w:val="32"/>
        </w:rPr>
        <w:t>日起施行，有效期至</w:t>
      </w:r>
      <w:r>
        <w:rPr>
          <w:rFonts w:hint="eastAsia" w:ascii="仿宋_GB2312" w:eastAsia="仿宋_GB2312"/>
          <w:color w:val="000000" w:themeColor="text1"/>
          <w:sz w:val="32"/>
          <w:szCs w:val="32"/>
          <w:lang w:val="en-US" w:eastAsia="zh-CN"/>
        </w:rPr>
        <w:t>2026</w:t>
      </w:r>
      <w:r>
        <w:rPr>
          <w:rFonts w:hint="eastAsia" w:ascii="仿宋_GB2312" w:eastAsia="仿宋_GB2312"/>
          <w:color w:val="000000" w:themeColor="text1"/>
          <w:sz w:val="32"/>
          <w:szCs w:val="32"/>
        </w:rPr>
        <w:t>年</w:t>
      </w:r>
      <w:r>
        <w:rPr>
          <w:rFonts w:hint="eastAsia" w:ascii="仿宋_GB2312" w:eastAsia="仿宋_GB2312"/>
          <w:color w:val="000000" w:themeColor="text1"/>
          <w:sz w:val="32"/>
          <w:szCs w:val="32"/>
          <w:lang w:val="en-US" w:eastAsia="zh-CN"/>
        </w:rPr>
        <w:t>12</w:t>
      </w:r>
      <w:r>
        <w:rPr>
          <w:rFonts w:hint="eastAsia" w:ascii="仿宋_GB2312" w:eastAsia="仿宋_GB2312"/>
          <w:color w:val="000000" w:themeColor="text1"/>
          <w:sz w:val="32"/>
          <w:szCs w:val="32"/>
        </w:rPr>
        <w:t>月</w:t>
      </w:r>
      <w:r>
        <w:rPr>
          <w:rFonts w:hint="eastAsia" w:ascii="仿宋_GB2312" w:eastAsia="仿宋_GB2312"/>
          <w:color w:val="000000" w:themeColor="text1"/>
          <w:sz w:val="32"/>
          <w:szCs w:val="32"/>
          <w:lang w:val="en-US" w:eastAsia="zh-CN"/>
        </w:rPr>
        <w:t>19</w:t>
      </w:r>
      <w:r>
        <w:rPr>
          <w:rFonts w:hint="eastAsia" w:ascii="仿宋_GB2312" w:eastAsia="仿宋_GB2312"/>
          <w:color w:val="000000" w:themeColor="text1"/>
          <w:sz w:val="32"/>
          <w:szCs w:val="32"/>
        </w:rPr>
        <w:t>日。</w:t>
      </w:r>
      <w:bookmarkStart w:id="0" w:name="_GoBack"/>
      <w:bookmarkEnd w:id="0"/>
    </w:p>
    <w:sectPr>
      <w:footerReference r:id="rId4" w:type="default"/>
      <w:pgSz w:w="11906" w:h="16838"/>
      <w:pgMar w:top="1701" w:right="1701" w:bottom="1701"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1030" o:spid="_x0000_s1030"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- 1 -</w:t>
                </w:r>
                <w:r>
                  <w:rPr>
                    <w:rFonts w:hint="eastAsia" w:asciiTheme="minorEastAsia" w:hAnsiTheme="minorEastAsia" w:eastAsiaTheme="minorEastAsia" w:cstheme="minorEastAsia"/>
                    <w:sz w:val="24"/>
                    <w:szCs w:val="24"/>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1031" o:spid="_x0000_s1031"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- 1 -</w:t>
                </w:r>
                <w:r>
                  <w:rPr>
                    <w:rFonts w:hint="eastAsia" w:asciiTheme="minorEastAsia" w:hAnsiTheme="minorEastAsia" w:eastAsiaTheme="minorEastAsia" w:cstheme="minor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B5FC0"/>
    <w:rsid w:val="00693E59"/>
    <w:rsid w:val="00777487"/>
    <w:rsid w:val="00787425"/>
    <w:rsid w:val="007B5FC0"/>
    <w:rsid w:val="008F7315"/>
    <w:rsid w:val="0093543C"/>
    <w:rsid w:val="00D471C7"/>
    <w:rsid w:val="00F27CEF"/>
    <w:rsid w:val="02A01084"/>
    <w:rsid w:val="02DB2BA3"/>
    <w:rsid w:val="083A5C68"/>
    <w:rsid w:val="09B41879"/>
    <w:rsid w:val="0B367B7F"/>
    <w:rsid w:val="0D4B26E0"/>
    <w:rsid w:val="0DCF2C57"/>
    <w:rsid w:val="0E025619"/>
    <w:rsid w:val="0E7141EA"/>
    <w:rsid w:val="0EC33927"/>
    <w:rsid w:val="10862F8F"/>
    <w:rsid w:val="10AB5A23"/>
    <w:rsid w:val="112B2AEF"/>
    <w:rsid w:val="116155BB"/>
    <w:rsid w:val="11752EE6"/>
    <w:rsid w:val="11EC72CE"/>
    <w:rsid w:val="123C7803"/>
    <w:rsid w:val="1256143D"/>
    <w:rsid w:val="1260606F"/>
    <w:rsid w:val="12C85809"/>
    <w:rsid w:val="13FE4C14"/>
    <w:rsid w:val="14D953F7"/>
    <w:rsid w:val="15641438"/>
    <w:rsid w:val="16C03965"/>
    <w:rsid w:val="19BB0A22"/>
    <w:rsid w:val="1D6B2727"/>
    <w:rsid w:val="1DDF7743"/>
    <w:rsid w:val="1FFFE085"/>
    <w:rsid w:val="214D31D5"/>
    <w:rsid w:val="214F6A29"/>
    <w:rsid w:val="234834C0"/>
    <w:rsid w:val="278F38E2"/>
    <w:rsid w:val="27D93CF6"/>
    <w:rsid w:val="281074CD"/>
    <w:rsid w:val="288050FB"/>
    <w:rsid w:val="28A63B74"/>
    <w:rsid w:val="29444959"/>
    <w:rsid w:val="2AF072DC"/>
    <w:rsid w:val="2B6F48E0"/>
    <w:rsid w:val="2B776D2C"/>
    <w:rsid w:val="2BAD65FC"/>
    <w:rsid w:val="2CA56551"/>
    <w:rsid w:val="2ECA40C9"/>
    <w:rsid w:val="2F8842A2"/>
    <w:rsid w:val="300C08F0"/>
    <w:rsid w:val="30EF246B"/>
    <w:rsid w:val="314E6EE3"/>
    <w:rsid w:val="332E5836"/>
    <w:rsid w:val="336E1BFE"/>
    <w:rsid w:val="35A126DE"/>
    <w:rsid w:val="3832642D"/>
    <w:rsid w:val="3A426A54"/>
    <w:rsid w:val="3D176773"/>
    <w:rsid w:val="3D3C6503"/>
    <w:rsid w:val="40D65EA0"/>
    <w:rsid w:val="417367FA"/>
    <w:rsid w:val="439971EF"/>
    <w:rsid w:val="46894651"/>
    <w:rsid w:val="482721BE"/>
    <w:rsid w:val="48DC769A"/>
    <w:rsid w:val="490D7120"/>
    <w:rsid w:val="49F911B6"/>
    <w:rsid w:val="4E3F7529"/>
    <w:rsid w:val="4E5A255A"/>
    <w:rsid w:val="50544F4F"/>
    <w:rsid w:val="50B013EC"/>
    <w:rsid w:val="51A43B8F"/>
    <w:rsid w:val="53FF3E5E"/>
    <w:rsid w:val="55997D49"/>
    <w:rsid w:val="575C4592"/>
    <w:rsid w:val="58493E5C"/>
    <w:rsid w:val="587F2508"/>
    <w:rsid w:val="592A20BD"/>
    <w:rsid w:val="5E4F5F26"/>
    <w:rsid w:val="5EFD6CED"/>
    <w:rsid w:val="5F736383"/>
    <w:rsid w:val="63581B02"/>
    <w:rsid w:val="65BC684A"/>
    <w:rsid w:val="66C84B9C"/>
    <w:rsid w:val="66DE1189"/>
    <w:rsid w:val="67EA0C0F"/>
    <w:rsid w:val="6983019E"/>
    <w:rsid w:val="6A3D7702"/>
    <w:rsid w:val="6B2C5993"/>
    <w:rsid w:val="6C7B033E"/>
    <w:rsid w:val="6D8F6006"/>
    <w:rsid w:val="704D4216"/>
    <w:rsid w:val="7238761B"/>
    <w:rsid w:val="737C1AC9"/>
    <w:rsid w:val="73943872"/>
    <w:rsid w:val="77CA742E"/>
    <w:rsid w:val="788A49B0"/>
    <w:rsid w:val="7BDC1282"/>
    <w:rsid w:val="7E0D5BCA"/>
    <w:rsid w:val="7FF96E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99"/>
    <w:pPr>
      <w:keepNext/>
      <w:keepLines/>
      <w:adjustRightInd w:val="0"/>
      <w:snapToGrid w:val="0"/>
      <w:spacing w:line="560" w:lineRule="exact"/>
      <w:ind w:firstLine="721" w:firstLineChars="200"/>
      <w:outlineLvl w:val="2"/>
    </w:pPr>
    <w:rPr>
      <w:rFonts w:eastAsia="楷体_GB2312"/>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unhideWhenUsed/>
    <w:qFormat/>
    <w:uiPriority w:val="99"/>
    <w:pPr>
      <w:spacing w:after="120"/>
      <w:ind w:left="420" w:leftChars="200"/>
    </w:pPr>
    <w:rPr>
      <w:rFonts w:hint="eastAsi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widowControl/>
      <w:spacing w:before="240" w:after="240"/>
      <w:jc w:val="left"/>
    </w:pPr>
    <w:rPr>
      <w:rFonts w:ascii="宋体" w:hAnsi="宋体" w:cs="宋体"/>
      <w:kern w:val="0"/>
      <w:sz w:val="24"/>
    </w:rPr>
  </w:style>
  <w:style w:type="paragraph" w:styleId="7">
    <w:name w:val="Body Text First Indent 2"/>
    <w:basedOn w:val="3"/>
    <w:unhideWhenUsed/>
    <w:qFormat/>
    <w:uiPriority w:val="99"/>
    <w:pPr>
      <w:ind w:firstLine="420" w:firstLineChars="200"/>
    </w:pPr>
  </w:style>
  <w:style w:type="paragraph" w:customStyle="1" w:styleId="10">
    <w:name w:val="UserStyle_0"/>
    <w:basedOn w:val="1"/>
    <w:next w:val="1"/>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0" textRotate="1"/>
    <customShpInfo spid="_x0000_s1031" textRotate="1"/>
    <customShpInfo spid="_x0000_s2050" textRotate="1"/>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658</Words>
  <Characters>3753</Characters>
  <Lines>31</Lines>
  <Paragraphs>8</Paragraphs>
  <TotalTime>4</TotalTime>
  <ScaleCrop>false</ScaleCrop>
  <LinksUpToDate>false</LinksUpToDate>
  <CharactersWithSpaces>4403</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2021-12-13T09:17:00Z</dcterms:created>
  <dc:creator>Administrator</dc:creator>
  <cp:lastModifiedBy>zhangxx</cp:lastModifiedBy>
  <cp:lastPrinted>2021-12-23T10:25:00Z</cp:lastPrinted>
  <dcterms:modified xsi:type="dcterms:W3CDTF">2022-01-04T14:59:02Z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AFE572277C974258A6C8886EFB1D3C78</vt:lpwstr>
  </property>
</Properties>
</file>